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2DD6" w14:textId="143E14DB" w:rsidR="004C0826" w:rsidRDefault="004C0826" w:rsidP="000E16AA">
      <w:pPr>
        <w:pStyle w:val="Heading2"/>
        <w:keepLines w:val="0"/>
        <w:spacing w:line="276" w:lineRule="auto"/>
        <w:jc w:val="both"/>
        <w:rPr>
          <w:rFonts w:ascii="Gill Sans MT" w:eastAsia="Calibri" w:hAnsi="Gill Sans MT" w:cs="Arial"/>
          <w:iCs/>
          <w:color w:val="C91619"/>
          <w:szCs w:val="28"/>
          <w:lang w:val="en-GB"/>
        </w:rPr>
      </w:pPr>
    </w:p>
    <w:p w14:paraId="20D9D3D6" w14:textId="333B9927" w:rsidR="005C5E9C" w:rsidRPr="000E16AA" w:rsidRDefault="0048231E" w:rsidP="000E16AA">
      <w:pPr>
        <w:pStyle w:val="Heading2"/>
        <w:keepLines w:val="0"/>
        <w:spacing w:line="276" w:lineRule="auto"/>
        <w:jc w:val="both"/>
        <w:rPr>
          <w:rFonts w:ascii="Gill Sans MT" w:eastAsia="Calibri" w:hAnsi="Gill Sans MT" w:cs="Arial"/>
          <w:iCs/>
          <w:color w:val="C91619"/>
          <w:szCs w:val="28"/>
          <w:lang w:val="en-GB"/>
        </w:rPr>
      </w:pPr>
      <w:commentRangeStart w:id="0"/>
      <w:r>
        <w:rPr>
          <w:rFonts w:ascii="Gill Sans MT" w:eastAsia="Calibri" w:hAnsi="Gill Sans MT" w:cs="Arial"/>
          <w:iCs/>
          <w:color w:val="C91619"/>
          <w:szCs w:val="28"/>
          <w:lang w:val="en-GB"/>
        </w:rPr>
        <w:t>Purpose of the crib sheet</w:t>
      </w:r>
      <w:commentRangeEnd w:id="0"/>
      <w:r w:rsidR="002D14F7">
        <w:rPr>
          <w:rStyle w:val="CommentReference"/>
          <w:rFonts w:eastAsiaTheme="minorEastAsia" w:cstheme="minorBidi"/>
          <w:bCs w:val="0"/>
          <w:color w:val="auto"/>
        </w:rPr>
        <w:commentReference w:id="0"/>
      </w:r>
    </w:p>
    <w:p w14:paraId="18B102A0" w14:textId="107C4330" w:rsidR="000E16AA" w:rsidRPr="004C0826" w:rsidRDefault="004C0826" w:rsidP="470A84F4">
      <w:pPr>
        <w:rPr>
          <w:rFonts w:eastAsiaTheme="majorEastAsia" w:cstheme="majorBidi"/>
          <w:sz w:val="22"/>
          <w:szCs w:val="22"/>
          <w:lang w:val="en-GB" w:eastAsia="ja-JP"/>
        </w:rPr>
      </w:pPr>
      <w:r w:rsidRPr="470A84F4">
        <w:rPr>
          <w:sz w:val="22"/>
          <w:szCs w:val="22"/>
          <w:lang w:val="en-GB"/>
        </w:rPr>
        <w:t>This crib sheet is designed as a resource to support facilitators of CALP’s</w:t>
      </w:r>
      <w:r w:rsidR="002D14F7" w:rsidRPr="470A84F4">
        <w:rPr>
          <w:sz w:val="22"/>
          <w:szCs w:val="22"/>
          <w:lang w:val="en-GB"/>
        </w:rPr>
        <w:t xml:space="preserve"> C</w:t>
      </w:r>
      <w:r w:rsidRPr="470A84F4">
        <w:rPr>
          <w:sz w:val="22"/>
          <w:szCs w:val="22"/>
          <w:lang w:val="en-GB"/>
        </w:rPr>
        <w:t xml:space="preserve">ore </w:t>
      </w:r>
      <w:r w:rsidR="002D14F7" w:rsidRPr="470A84F4">
        <w:rPr>
          <w:sz w:val="22"/>
          <w:szCs w:val="22"/>
          <w:lang w:val="en-GB"/>
        </w:rPr>
        <w:t>CVA Skills for Programme Staff</w:t>
      </w:r>
      <w:r w:rsidRPr="470A84F4">
        <w:rPr>
          <w:sz w:val="22"/>
          <w:szCs w:val="22"/>
          <w:lang w:val="en-GB"/>
        </w:rPr>
        <w:t xml:space="preserve"> course. It should be used alongside the detailed session plans and facilitator notes for the course. It is designed to help facilitators contextualise the course content to the specificities of the region, but is not intended to replace any of the existing course content. </w:t>
      </w:r>
      <w:r w:rsidR="007C6A72" w:rsidRPr="470A84F4">
        <w:rPr>
          <w:sz w:val="22"/>
          <w:szCs w:val="22"/>
          <w:lang w:val="en-GB"/>
        </w:rPr>
        <w:t>The guidance below can be integrated by the facilitator throughout the course, or alternatively the resources can be shared at the end of each topic or day of training.</w:t>
      </w:r>
      <w:r w:rsidR="002D14F7" w:rsidRPr="470A84F4">
        <w:rPr>
          <w:sz w:val="22"/>
          <w:szCs w:val="22"/>
          <w:lang w:val="en-GB"/>
        </w:rPr>
        <w:t xml:space="preserve"> The content of the crib sheet can and should be further enhanced by inviting, as and when appropriate, participants to share examples from the region, from their organisations and/or from their experience or knowledge.</w:t>
      </w:r>
    </w:p>
    <w:p w14:paraId="3D3FC7EF" w14:textId="6FE303AA" w:rsidR="0048231E" w:rsidRPr="005C4C5D" w:rsidRDefault="0048231E" w:rsidP="000E16AA">
      <w:pPr>
        <w:pStyle w:val="Heading2"/>
        <w:keepLines w:val="0"/>
        <w:spacing w:line="276" w:lineRule="auto"/>
        <w:jc w:val="both"/>
        <w:rPr>
          <w:rFonts w:ascii="Gill Sans MT" w:eastAsia="Calibri" w:hAnsi="Gill Sans MT" w:cs="Arial"/>
          <w:i/>
          <w:iCs/>
          <w:color w:val="C91619"/>
          <w:szCs w:val="28"/>
          <w:lang w:val="en-GB"/>
        </w:rPr>
      </w:pPr>
      <w:r>
        <w:rPr>
          <w:rFonts w:ascii="Gill Sans MT" w:eastAsia="Calibri" w:hAnsi="Gill Sans MT" w:cs="Arial"/>
          <w:iCs/>
          <w:color w:val="C91619"/>
          <w:szCs w:val="28"/>
          <w:lang w:val="en-GB"/>
        </w:rPr>
        <w:t>Overview of C</w:t>
      </w:r>
      <w:r w:rsidR="00491A8B">
        <w:rPr>
          <w:rFonts w:ascii="Gill Sans MT" w:eastAsia="Calibri" w:hAnsi="Gill Sans MT" w:cs="Arial"/>
          <w:iCs/>
          <w:color w:val="C91619"/>
          <w:szCs w:val="28"/>
          <w:lang w:val="en-GB"/>
        </w:rPr>
        <w:t>VA</w:t>
      </w:r>
      <w:r>
        <w:rPr>
          <w:rFonts w:ascii="Gill Sans MT" w:eastAsia="Calibri" w:hAnsi="Gill Sans MT" w:cs="Arial"/>
          <w:iCs/>
          <w:color w:val="C91619"/>
          <w:szCs w:val="28"/>
          <w:lang w:val="en-GB"/>
        </w:rPr>
        <w:t xml:space="preserve"> responses within the region</w:t>
      </w:r>
      <w:r w:rsidR="005C4C5D">
        <w:rPr>
          <w:rFonts w:ascii="Gill Sans MT" w:eastAsia="Calibri" w:hAnsi="Gill Sans MT" w:cs="Arial"/>
          <w:iCs/>
          <w:color w:val="C91619"/>
          <w:szCs w:val="28"/>
          <w:lang w:val="en-GB"/>
        </w:rPr>
        <w:t xml:space="preserve"> </w:t>
      </w:r>
      <w:r w:rsidR="005C4C5D" w:rsidRPr="005C4C5D">
        <w:rPr>
          <w:i/>
          <w:color w:val="auto"/>
          <w:sz w:val="22"/>
          <w:szCs w:val="22"/>
          <w:lang w:val="en-GB"/>
        </w:rPr>
        <w:t>(</w:t>
      </w:r>
      <w:r w:rsidR="005C4C5D">
        <w:rPr>
          <w:i/>
          <w:color w:val="auto"/>
          <w:sz w:val="22"/>
          <w:szCs w:val="22"/>
          <w:lang w:val="en-GB"/>
        </w:rPr>
        <w:t>max 100 words</w:t>
      </w:r>
      <w:r w:rsidR="005C4C5D" w:rsidRPr="005C4C5D">
        <w:rPr>
          <w:i/>
          <w:color w:val="auto"/>
          <w:sz w:val="22"/>
          <w:szCs w:val="22"/>
          <w:lang w:val="en-GB"/>
        </w:rPr>
        <w:t>)</w:t>
      </w:r>
    </w:p>
    <w:p w14:paraId="04CA8996" w14:textId="51FB744D" w:rsidR="005C4C5D" w:rsidRPr="005C4C5D" w:rsidRDefault="005C4C5D" w:rsidP="0048231E">
      <w:pPr>
        <w:pStyle w:val="ListParagraph"/>
        <w:numPr>
          <w:ilvl w:val="0"/>
          <w:numId w:val="6"/>
        </w:numPr>
        <w:rPr>
          <w:i/>
          <w:sz w:val="22"/>
          <w:szCs w:val="22"/>
          <w:lang w:val="en-GB"/>
        </w:rPr>
      </w:pPr>
      <w:r w:rsidRPr="005C4C5D">
        <w:rPr>
          <w:i/>
          <w:sz w:val="22"/>
          <w:szCs w:val="22"/>
          <w:lang w:val="en-GB"/>
        </w:rPr>
        <w:t>Scope of t</w:t>
      </w:r>
      <w:r>
        <w:rPr>
          <w:i/>
          <w:sz w:val="22"/>
          <w:szCs w:val="22"/>
          <w:lang w:val="en-GB"/>
        </w:rPr>
        <w:t>he region (i.e. which countries are included)</w:t>
      </w:r>
    </w:p>
    <w:p w14:paraId="5BDDB0C1" w14:textId="049271F8" w:rsidR="0048231E" w:rsidRPr="005C4C5D" w:rsidRDefault="0048231E" w:rsidP="470A84F4">
      <w:pPr>
        <w:pStyle w:val="ListParagraph"/>
        <w:numPr>
          <w:ilvl w:val="0"/>
          <w:numId w:val="6"/>
        </w:numPr>
        <w:rPr>
          <w:i/>
          <w:iCs/>
          <w:sz w:val="22"/>
          <w:szCs w:val="22"/>
          <w:lang w:val="en-GB"/>
        </w:rPr>
      </w:pPr>
      <w:r w:rsidRPr="470A84F4">
        <w:rPr>
          <w:i/>
          <w:iCs/>
          <w:sz w:val="22"/>
          <w:szCs w:val="22"/>
          <w:lang w:val="en-GB"/>
        </w:rPr>
        <w:t>Typography of types of CVA responses within the region</w:t>
      </w:r>
      <w:r w:rsidR="005C4C5D" w:rsidRPr="470A84F4">
        <w:rPr>
          <w:i/>
          <w:iCs/>
          <w:sz w:val="22"/>
          <w:szCs w:val="22"/>
          <w:lang w:val="en-GB"/>
        </w:rPr>
        <w:t xml:space="preserve"> (suggested typology from CALP library taxonomy: disaster - slow onset; disaster – rapid onset; conflict; complex political/protracted; displacement/refugee; epidemic) and topline overview of scale/type of programming within each (+ links to relevant resource pages, e.g. CWG pages)</w:t>
      </w:r>
    </w:p>
    <w:p w14:paraId="3B0B87B0" w14:textId="77777777" w:rsidR="0048231E" w:rsidRPr="0048231E" w:rsidRDefault="0048231E" w:rsidP="0048231E">
      <w:pPr>
        <w:rPr>
          <w:lang w:val="en-GB"/>
        </w:rPr>
      </w:pPr>
    </w:p>
    <w:p w14:paraId="12E66E70" w14:textId="6180C951" w:rsidR="000E16AA" w:rsidRDefault="0048231E" w:rsidP="000E16AA">
      <w:pPr>
        <w:pStyle w:val="Heading2"/>
        <w:keepLines w:val="0"/>
        <w:spacing w:line="276" w:lineRule="auto"/>
        <w:jc w:val="both"/>
        <w:rPr>
          <w:rFonts w:ascii="Gill Sans MT" w:eastAsia="Calibri" w:hAnsi="Gill Sans MT" w:cs="Arial"/>
          <w:iCs/>
          <w:color w:val="C91619"/>
          <w:szCs w:val="28"/>
          <w:lang w:val="en-GB"/>
        </w:rPr>
      </w:pPr>
      <w:r>
        <w:rPr>
          <w:rFonts w:ascii="Gill Sans MT" w:eastAsia="Calibri" w:hAnsi="Gill Sans MT" w:cs="Arial"/>
          <w:iCs/>
          <w:color w:val="C91619"/>
          <w:szCs w:val="28"/>
          <w:lang w:val="en-GB"/>
        </w:rPr>
        <w:t>C</w:t>
      </w:r>
      <w:r w:rsidR="00491A8B">
        <w:rPr>
          <w:rFonts w:ascii="Gill Sans MT" w:eastAsia="Calibri" w:hAnsi="Gill Sans MT" w:cs="Arial"/>
          <w:iCs/>
          <w:color w:val="C91619"/>
          <w:szCs w:val="28"/>
          <w:lang w:val="en-GB"/>
        </w:rPr>
        <w:t>VA</w:t>
      </w:r>
      <w:r>
        <w:rPr>
          <w:rFonts w:ascii="Gill Sans MT" w:eastAsia="Calibri" w:hAnsi="Gill Sans MT" w:cs="Arial"/>
          <w:iCs/>
          <w:color w:val="C91619"/>
          <w:szCs w:val="28"/>
          <w:lang w:val="en-GB"/>
        </w:rPr>
        <w:t xml:space="preserve"> themes of relevance within the region</w:t>
      </w:r>
      <w:r w:rsidR="005C4C5D">
        <w:rPr>
          <w:rFonts w:ascii="Gill Sans MT" w:eastAsia="Calibri" w:hAnsi="Gill Sans MT" w:cs="Arial"/>
          <w:iCs/>
          <w:color w:val="C91619"/>
          <w:szCs w:val="28"/>
          <w:lang w:val="en-GB"/>
        </w:rPr>
        <w:t xml:space="preserve"> </w:t>
      </w:r>
      <w:r w:rsidR="005C4C5D" w:rsidRPr="005C4C5D">
        <w:rPr>
          <w:i/>
          <w:color w:val="auto"/>
          <w:sz w:val="22"/>
          <w:szCs w:val="22"/>
          <w:lang w:val="en-GB"/>
        </w:rPr>
        <w:t>(</w:t>
      </w:r>
      <w:r w:rsidR="005C4C5D">
        <w:rPr>
          <w:i/>
          <w:color w:val="auto"/>
          <w:sz w:val="22"/>
          <w:szCs w:val="22"/>
          <w:lang w:val="en-GB"/>
        </w:rPr>
        <w:t>max 200 words</w:t>
      </w:r>
      <w:r w:rsidR="005C4C5D" w:rsidRPr="005C4C5D">
        <w:rPr>
          <w:i/>
          <w:color w:val="auto"/>
          <w:sz w:val="22"/>
          <w:szCs w:val="22"/>
          <w:lang w:val="en-GB"/>
        </w:rPr>
        <w:t>)</w:t>
      </w:r>
    </w:p>
    <w:p w14:paraId="3AA33A80" w14:textId="224E505A" w:rsidR="0048231E" w:rsidRPr="005C4C5D" w:rsidRDefault="005C4C5D" w:rsidP="005C4C5D">
      <w:pPr>
        <w:pStyle w:val="ListParagraph"/>
        <w:numPr>
          <w:ilvl w:val="0"/>
          <w:numId w:val="6"/>
        </w:numPr>
        <w:rPr>
          <w:sz w:val="22"/>
          <w:szCs w:val="22"/>
          <w:lang w:val="en-GB"/>
        </w:rPr>
      </w:pPr>
      <w:r w:rsidRPr="470A84F4">
        <w:rPr>
          <w:i/>
          <w:iCs/>
          <w:sz w:val="22"/>
          <w:szCs w:val="22"/>
          <w:lang w:val="en-GB"/>
        </w:rPr>
        <w:t>3 or 4 priority themes, likely mapped to the typography of CVA responses above</w:t>
      </w:r>
    </w:p>
    <w:p w14:paraId="066F08A1" w14:textId="4BC8562C" w:rsidR="0048231E" w:rsidRPr="005C4C5D" w:rsidRDefault="005C4C5D" w:rsidP="0048231E">
      <w:pPr>
        <w:pStyle w:val="ListParagraph"/>
        <w:numPr>
          <w:ilvl w:val="0"/>
          <w:numId w:val="6"/>
        </w:numPr>
        <w:rPr>
          <w:sz w:val="22"/>
          <w:szCs w:val="22"/>
          <w:lang w:val="en-GB"/>
        </w:rPr>
      </w:pPr>
      <w:r w:rsidRPr="005C4C5D">
        <w:rPr>
          <w:i/>
          <w:sz w:val="22"/>
          <w:szCs w:val="22"/>
          <w:lang w:val="en-GB"/>
        </w:rPr>
        <w:t xml:space="preserve">Links to 1 or 2 existing case studies for each theme (ensure </w:t>
      </w:r>
      <w:hyperlink r:id="rId14" w:history="1">
        <w:r w:rsidRPr="007C6A72">
          <w:rPr>
            <w:rStyle w:val="Hyperlink"/>
            <w:sz w:val="22"/>
            <w:szCs w:val="22"/>
            <w:lang w:val="en-GB"/>
          </w:rPr>
          <w:t>SoWC case studies</w:t>
        </w:r>
      </w:hyperlink>
      <w:r w:rsidRPr="005C4C5D">
        <w:rPr>
          <w:i/>
          <w:sz w:val="22"/>
          <w:szCs w:val="22"/>
          <w:lang w:val="en-GB"/>
        </w:rPr>
        <w:t xml:space="preserve"> are referenced) and topline summary of relevance of that cases study</w:t>
      </w:r>
    </w:p>
    <w:p w14:paraId="2D9F8D9E" w14:textId="55DA5E4C" w:rsidR="005C4C5D" w:rsidRPr="005C4C5D" w:rsidRDefault="005C4C5D" w:rsidP="005C4C5D">
      <w:pPr>
        <w:pStyle w:val="ListParagraph"/>
        <w:rPr>
          <w:lang w:val="en-GB"/>
        </w:rPr>
      </w:pPr>
    </w:p>
    <w:p w14:paraId="4F77B191" w14:textId="25CBA608" w:rsidR="005C4C5D" w:rsidRDefault="005C4C5D" w:rsidP="005C4C5D">
      <w:pPr>
        <w:pStyle w:val="Heading2"/>
        <w:keepLines w:val="0"/>
        <w:spacing w:line="276" w:lineRule="auto"/>
        <w:jc w:val="both"/>
        <w:rPr>
          <w:rFonts w:ascii="Gill Sans MT" w:eastAsia="Calibri" w:hAnsi="Gill Sans MT" w:cs="Arial"/>
          <w:iCs/>
          <w:color w:val="C91619"/>
          <w:szCs w:val="28"/>
          <w:lang w:val="en-GB"/>
        </w:rPr>
      </w:pPr>
      <w:r>
        <w:rPr>
          <w:rFonts w:ascii="Gill Sans MT" w:eastAsia="Calibri" w:hAnsi="Gill Sans MT" w:cs="Arial"/>
          <w:iCs/>
          <w:color w:val="C91619"/>
          <w:szCs w:val="28"/>
          <w:lang w:val="en-GB"/>
        </w:rPr>
        <w:t xml:space="preserve">Contextualising audio-visual content </w:t>
      </w:r>
      <w:r w:rsidRPr="005C4C5D">
        <w:rPr>
          <w:i/>
          <w:color w:val="auto"/>
          <w:sz w:val="22"/>
          <w:szCs w:val="22"/>
          <w:lang w:val="en-GB"/>
        </w:rPr>
        <w:t>(</w:t>
      </w:r>
      <w:r>
        <w:rPr>
          <w:i/>
          <w:color w:val="auto"/>
          <w:sz w:val="22"/>
          <w:szCs w:val="22"/>
          <w:lang w:val="en-GB"/>
        </w:rPr>
        <w:t>max 100 words</w:t>
      </w:r>
      <w:r w:rsidRPr="005C4C5D">
        <w:rPr>
          <w:i/>
          <w:color w:val="auto"/>
          <w:sz w:val="22"/>
          <w:szCs w:val="22"/>
          <w:lang w:val="en-GB"/>
        </w:rPr>
        <w:t>)</w:t>
      </w:r>
    </w:p>
    <w:p w14:paraId="053429B6" w14:textId="5659EFF6" w:rsidR="005C4C5D" w:rsidRPr="005C4C5D" w:rsidRDefault="005C4C5D" w:rsidP="005C4C5D">
      <w:pPr>
        <w:pStyle w:val="ListParagraph"/>
        <w:numPr>
          <w:ilvl w:val="0"/>
          <w:numId w:val="6"/>
        </w:numPr>
        <w:rPr>
          <w:sz w:val="22"/>
          <w:szCs w:val="22"/>
          <w:lang w:val="en-GB"/>
        </w:rPr>
      </w:pPr>
      <w:r w:rsidRPr="470A84F4">
        <w:rPr>
          <w:i/>
          <w:iCs/>
          <w:sz w:val="22"/>
          <w:szCs w:val="22"/>
          <w:lang w:val="en-GB"/>
        </w:rPr>
        <w:t>Guidance on the type of audio-visual content it is appropriate to include (based on scope of region and typography of CVA responses)</w:t>
      </w:r>
    </w:p>
    <w:p w14:paraId="2001CF2B" w14:textId="66466C1D" w:rsidR="005C4C5D" w:rsidRPr="005C4C5D" w:rsidRDefault="005C4C5D" w:rsidP="005C4C5D">
      <w:pPr>
        <w:pStyle w:val="ListParagraph"/>
        <w:numPr>
          <w:ilvl w:val="0"/>
          <w:numId w:val="6"/>
        </w:numPr>
        <w:rPr>
          <w:sz w:val="22"/>
          <w:szCs w:val="22"/>
          <w:lang w:val="en-GB"/>
        </w:rPr>
      </w:pPr>
      <w:r w:rsidRPr="005C4C5D">
        <w:rPr>
          <w:i/>
          <w:sz w:val="22"/>
          <w:szCs w:val="22"/>
          <w:lang w:val="en-GB"/>
        </w:rPr>
        <w:t>Links to 2 or 3 regionally-relevant videos which reflect types of responses &amp; themes</w:t>
      </w:r>
    </w:p>
    <w:p w14:paraId="1CCAAB27" w14:textId="77777777" w:rsidR="0048231E" w:rsidRPr="0048231E" w:rsidRDefault="0048231E" w:rsidP="0048231E">
      <w:pPr>
        <w:rPr>
          <w:lang w:val="en-GB"/>
        </w:rPr>
      </w:pPr>
    </w:p>
    <w:p w14:paraId="19D42A5C" w14:textId="3279F576" w:rsidR="0048231E" w:rsidRDefault="0048231E" w:rsidP="0048231E">
      <w:pPr>
        <w:pStyle w:val="Heading2"/>
        <w:keepLines w:val="0"/>
        <w:spacing w:line="276" w:lineRule="auto"/>
        <w:jc w:val="both"/>
        <w:rPr>
          <w:rFonts w:ascii="Gill Sans MT" w:eastAsia="Calibri" w:hAnsi="Gill Sans MT" w:cs="Arial"/>
          <w:iCs/>
          <w:color w:val="C91619"/>
          <w:szCs w:val="28"/>
          <w:lang w:val="en-GB"/>
        </w:rPr>
      </w:pPr>
      <w:r>
        <w:rPr>
          <w:rFonts w:ascii="Gill Sans MT" w:eastAsia="Calibri" w:hAnsi="Gill Sans MT" w:cs="Arial"/>
          <w:iCs/>
          <w:color w:val="C91619"/>
          <w:szCs w:val="28"/>
          <w:lang w:val="en-GB"/>
        </w:rPr>
        <w:t>Course topics and relevant examples</w:t>
      </w:r>
    </w:p>
    <w:p w14:paraId="1A146578" w14:textId="641876FD" w:rsidR="0048231E" w:rsidRPr="00443D4F" w:rsidRDefault="00443D4F" w:rsidP="0048231E">
      <w:pPr>
        <w:pStyle w:val="ListParagraph"/>
        <w:numPr>
          <w:ilvl w:val="0"/>
          <w:numId w:val="6"/>
        </w:numPr>
        <w:rPr>
          <w:i/>
          <w:sz w:val="22"/>
          <w:szCs w:val="22"/>
          <w:lang w:val="en-GB"/>
        </w:rPr>
      </w:pPr>
      <w:r w:rsidRPr="00443D4F">
        <w:rPr>
          <w:i/>
          <w:sz w:val="22"/>
          <w:szCs w:val="22"/>
          <w:lang w:val="en-GB"/>
        </w:rPr>
        <w:t>For each of the topics and/or sessions below, identify what the k</w:t>
      </w:r>
      <w:r w:rsidR="0048231E" w:rsidRPr="00443D4F">
        <w:rPr>
          <w:i/>
          <w:sz w:val="22"/>
          <w:szCs w:val="22"/>
          <w:lang w:val="en-GB"/>
        </w:rPr>
        <w:t>ey questions</w:t>
      </w:r>
      <w:r w:rsidRPr="00443D4F">
        <w:rPr>
          <w:i/>
          <w:sz w:val="22"/>
          <w:szCs w:val="22"/>
          <w:lang w:val="en-GB"/>
        </w:rPr>
        <w:t xml:space="preserve"> are which facilitators get asked, and provide (as </w:t>
      </w:r>
      <w:r w:rsidR="007C6A72">
        <w:rPr>
          <w:i/>
          <w:sz w:val="22"/>
          <w:szCs w:val="22"/>
          <w:lang w:val="en-GB"/>
        </w:rPr>
        <w:t xml:space="preserve">relevant and </w:t>
      </w:r>
      <w:r w:rsidRPr="00443D4F">
        <w:rPr>
          <w:i/>
          <w:sz w:val="22"/>
          <w:szCs w:val="22"/>
          <w:lang w:val="en-GB"/>
        </w:rPr>
        <w:t>appropriate) 1) links to documented regional examples</w:t>
      </w:r>
      <w:r w:rsidR="0048348E">
        <w:rPr>
          <w:i/>
          <w:sz w:val="22"/>
          <w:szCs w:val="22"/>
          <w:lang w:val="en-GB"/>
        </w:rPr>
        <w:t xml:space="preserve"> and key points to draw out</w:t>
      </w:r>
      <w:r w:rsidRPr="00443D4F">
        <w:rPr>
          <w:i/>
          <w:sz w:val="22"/>
          <w:szCs w:val="22"/>
          <w:lang w:val="en-GB"/>
        </w:rPr>
        <w:t>; 2) recommendations on which parts of the session can refer to these examples</w:t>
      </w:r>
      <w:r w:rsidR="007C6A72">
        <w:rPr>
          <w:i/>
          <w:sz w:val="22"/>
          <w:szCs w:val="22"/>
          <w:lang w:val="en-GB"/>
        </w:rPr>
        <w:t>; 3) guidance on how specific tasks may be adapted to be more regionally-specific</w:t>
      </w:r>
      <w:r w:rsidRPr="00443D4F">
        <w:rPr>
          <w:i/>
          <w:sz w:val="22"/>
          <w:szCs w:val="22"/>
          <w:lang w:val="en-GB"/>
        </w:rPr>
        <w:t>. Some more indicative guidance has been provided below.</w:t>
      </w:r>
    </w:p>
    <w:p w14:paraId="052756A2" w14:textId="77777777" w:rsidR="00443D4F" w:rsidRPr="00443D4F" w:rsidRDefault="00443D4F" w:rsidP="00443D4F">
      <w:pPr>
        <w:pStyle w:val="ListParagraph"/>
        <w:rPr>
          <w:i/>
          <w:lang w:val="en-GB"/>
        </w:rPr>
      </w:pPr>
    </w:p>
    <w:p w14:paraId="279A9CCC" w14:textId="7F07F2D5" w:rsidR="004C0826" w:rsidRPr="008A759F" w:rsidRDefault="004C0826" w:rsidP="004C0826">
      <w:pPr>
        <w:spacing w:before="60" w:after="60"/>
        <w:rPr>
          <w:rFonts w:eastAsia="Times New Roman" w:cs="Arial"/>
          <w:color w:val="000000"/>
          <w:sz w:val="22"/>
        </w:rPr>
      </w:pPr>
      <w:r w:rsidRPr="008A759F">
        <w:rPr>
          <w:rFonts w:eastAsia="Times New Roman" w:cs="Arial"/>
          <w:b/>
          <w:color w:val="C50000"/>
          <w:sz w:val="22"/>
        </w:rPr>
        <w:t>TOPIC 1:</w:t>
      </w:r>
      <w:r w:rsidR="00731672" w:rsidRPr="00731672">
        <w:rPr>
          <w:rFonts w:eastAsia="Times New Roman" w:cs="Arial"/>
          <w:b/>
          <w:color w:val="C50000"/>
          <w:sz w:val="22"/>
        </w:rPr>
        <w:t xml:space="preserve"> Opportunities and challenges of CVA</w:t>
      </w:r>
    </w:p>
    <w:p w14:paraId="18B2BF6F" w14:textId="6D25C710" w:rsidR="0048231E" w:rsidRDefault="004C0826" w:rsidP="0048231E">
      <w:pPr>
        <w:rPr>
          <w:sz w:val="22"/>
        </w:rPr>
      </w:pPr>
      <w:r w:rsidRPr="008A759F">
        <w:rPr>
          <w:b/>
          <w:color w:val="C50000"/>
          <w:sz w:val="22"/>
        </w:rPr>
        <w:t>Session 1.1</w:t>
      </w:r>
      <w:r w:rsidRPr="008A759F">
        <w:rPr>
          <w:sz w:val="22"/>
        </w:rPr>
        <w:t xml:space="preserve"> C</w:t>
      </w:r>
      <w:r w:rsidR="00491A8B">
        <w:rPr>
          <w:sz w:val="22"/>
        </w:rPr>
        <w:t>VA</w:t>
      </w:r>
      <w:r w:rsidRPr="008A759F">
        <w:rPr>
          <w:sz w:val="22"/>
        </w:rPr>
        <w:t xml:space="preserve"> concepts</w:t>
      </w:r>
      <w:r w:rsidR="00731672">
        <w:rPr>
          <w:sz w:val="22"/>
        </w:rPr>
        <w:t xml:space="preserve"> and contexts</w:t>
      </w:r>
    </w:p>
    <w:p w14:paraId="696FE82E" w14:textId="15680540" w:rsidR="00443D4F" w:rsidRPr="00443D4F" w:rsidRDefault="00443D4F" w:rsidP="00443D4F">
      <w:pPr>
        <w:pStyle w:val="ListParagraph"/>
        <w:numPr>
          <w:ilvl w:val="0"/>
          <w:numId w:val="6"/>
        </w:numPr>
        <w:rPr>
          <w:sz w:val="22"/>
        </w:rPr>
      </w:pPr>
      <w:r>
        <w:rPr>
          <w:i/>
          <w:sz w:val="22"/>
        </w:rPr>
        <w:t>Provide examples of how C</w:t>
      </w:r>
      <w:r w:rsidR="00491A8B">
        <w:rPr>
          <w:i/>
          <w:sz w:val="22"/>
        </w:rPr>
        <w:t>VA</w:t>
      </w:r>
      <w:r>
        <w:rPr>
          <w:i/>
          <w:sz w:val="22"/>
        </w:rPr>
        <w:t xml:space="preserve"> has been used to support the different phases of humanitarian response in the region </w:t>
      </w:r>
      <w:r w:rsidRPr="005C4C5D">
        <w:rPr>
          <w:i/>
          <w:sz w:val="22"/>
          <w:szCs w:val="22"/>
          <w:lang w:val="en-GB"/>
        </w:rPr>
        <w:t>(</w:t>
      </w:r>
      <w:r>
        <w:rPr>
          <w:i/>
          <w:sz w:val="22"/>
          <w:szCs w:val="22"/>
          <w:lang w:val="en-GB"/>
        </w:rPr>
        <w:t>max 100 words</w:t>
      </w:r>
      <w:r w:rsidRPr="005C4C5D">
        <w:rPr>
          <w:i/>
          <w:sz w:val="22"/>
          <w:szCs w:val="22"/>
          <w:lang w:val="en-GB"/>
        </w:rPr>
        <w:t>)</w:t>
      </w:r>
    </w:p>
    <w:p w14:paraId="3B6F8206" w14:textId="15158268" w:rsidR="004C0826" w:rsidRDefault="004C0826" w:rsidP="0048231E">
      <w:pPr>
        <w:rPr>
          <w:sz w:val="22"/>
        </w:rPr>
      </w:pPr>
      <w:r w:rsidRPr="004D20D9">
        <w:rPr>
          <w:b/>
          <w:color w:val="C50000"/>
          <w:sz w:val="22"/>
        </w:rPr>
        <w:t xml:space="preserve">Session 1.2 </w:t>
      </w:r>
      <w:r>
        <w:rPr>
          <w:sz w:val="22"/>
        </w:rPr>
        <w:t>C</w:t>
      </w:r>
      <w:r w:rsidR="00491A8B">
        <w:rPr>
          <w:sz w:val="22"/>
        </w:rPr>
        <w:t>VA</w:t>
      </w:r>
      <w:r>
        <w:rPr>
          <w:sz w:val="22"/>
        </w:rPr>
        <w:t xml:space="preserve"> </w:t>
      </w:r>
      <w:r w:rsidR="00731672">
        <w:rPr>
          <w:sz w:val="22"/>
        </w:rPr>
        <w:t>Opportunities and challenges</w:t>
      </w:r>
    </w:p>
    <w:p w14:paraId="6C0F1F8B" w14:textId="621BB94E" w:rsidR="00443D4F" w:rsidRDefault="00443D4F" w:rsidP="00443D4F">
      <w:pPr>
        <w:pStyle w:val="ListParagraph"/>
        <w:numPr>
          <w:ilvl w:val="0"/>
          <w:numId w:val="6"/>
        </w:numPr>
        <w:rPr>
          <w:i/>
          <w:sz w:val="22"/>
          <w:szCs w:val="22"/>
          <w:lang w:val="en-GB"/>
        </w:rPr>
      </w:pPr>
      <w:r>
        <w:rPr>
          <w:i/>
          <w:sz w:val="22"/>
          <w:szCs w:val="22"/>
          <w:lang w:val="en-GB"/>
        </w:rPr>
        <w:t>Identify regionally-specific milestones along the C</w:t>
      </w:r>
      <w:r w:rsidR="00731672">
        <w:rPr>
          <w:i/>
          <w:sz w:val="22"/>
          <w:szCs w:val="22"/>
          <w:lang w:val="en-GB"/>
        </w:rPr>
        <w:t>VA</w:t>
      </w:r>
      <w:r>
        <w:rPr>
          <w:i/>
          <w:sz w:val="22"/>
          <w:szCs w:val="22"/>
          <w:lang w:val="en-GB"/>
        </w:rPr>
        <w:t xml:space="preserve"> timeline </w:t>
      </w:r>
      <w:r w:rsidRPr="005C4C5D">
        <w:rPr>
          <w:i/>
          <w:sz w:val="22"/>
          <w:szCs w:val="22"/>
          <w:lang w:val="en-GB"/>
        </w:rPr>
        <w:t>(</w:t>
      </w:r>
      <w:r>
        <w:rPr>
          <w:i/>
          <w:sz w:val="22"/>
          <w:szCs w:val="22"/>
          <w:lang w:val="en-GB"/>
        </w:rPr>
        <w:t>max 100 words</w:t>
      </w:r>
      <w:r w:rsidRPr="005C4C5D">
        <w:rPr>
          <w:i/>
          <w:sz w:val="22"/>
          <w:szCs w:val="22"/>
          <w:lang w:val="en-GB"/>
        </w:rPr>
        <w:t>)</w:t>
      </w:r>
    </w:p>
    <w:p w14:paraId="04EC731C" w14:textId="2D9D1F5D" w:rsidR="005C4C5D" w:rsidRPr="00443D4F" w:rsidRDefault="00443D4F" w:rsidP="00443D4F">
      <w:pPr>
        <w:pStyle w:val="ListParagraph"/>
        <w:numPr>
          <w:ilvl w:val="0"/>
          <w:numId w:val="6"/>
        </w:numPr>
        <w:rPr>
          <w:i/>
          <w:sz w:val="22"/>
          <w:szCs w:val="22"/>
          <w:lang w:val="en-GB"/>
        </w:rPr>
      </w:pPr>
      <w:r w:rsidRPr="00443D4F">
        <w:rPr>
          <w:i/>
          <w:sz w:val="22"/>
          <w:szCs w:val="22"/>
          <w:lang w:val="en-GB"/>
        </w:rPr>
        <w:t xml:space="preserve">Highlight </w:t>
      </w:r>
      <w:r w:rsidR="005C4C5D" w:rsidRPr="00443D4F">
        <w:rPr>
          <w:i/>
          <w:sz w:val="22"/>
          <w:szCs w:val="22"/>
          <w:lang w:val="en-GB"/>
        </w:rPr>
        <w:t xml:space="preserve">policy issues of relevance to </w:t>
      </w:r>
      <w:r w:rsidRPr="00443D4F">
        <w:rPr>
          <w:i/>
          <w:sz w:val="22"/>
          <w:szCs w:val="22"/>
          <w:lang w:val="en-GB"/>
        </w:rPr>
        <w:t>the region (e.g. shock-response social protection; regional funding mechanisms), and how they influence the</w:t>
      </w:r>
      <w:r w:rsidR="00473E0B">
        <w:rPr>
          <w:i/>
          <w:sz w:val="22"/>
          <w:szCs w:val="22"/>
          <w:lang w:val="en-GB"/>
        </w:rPr>
        <w:t xml:space="preserve"> discussion about and the </w:t>
      </w:r>
      <w:r w:rsidRPr="00443D4F">
        <w:rPr>
          <w:i/>
          <w:sz w:val="22"/>
          <w:szCs w:val="22"/>
          <w:lang w:val="en-GB"/>
        </w:rPr>
        <w:t>future of C</w:t>
      </w:r>
      <w:r w:rsidR="00C850D2">
        <w:rPr>
          <w:i/>
          <w:sz w:val="22"/>
          <w:szCs w:val="22"/>
          <w:lang w:val="en-GB"/>
        </w:rPr>
        <w:t>VA</w:t>
      </w:r>
      <w:r>
        <w:rPr>
          <w:i/>
          <w:sz w:val="22"/>
          <w:szCs w:val="22"/>
          <w:lang w:val="en-GB"/>
        </w:rPr>
        <w:t xml:space="preserve"> </w:t>
      </w:r>
      <w:r w:rsidRPr="005C4C5D">
        <w:rPr>
          <w:i/>
          <w:sz w:val="22"/>
          <w:szCs w:val="22"/>
          <w:lang w:val="en-GB"/>
        </w:rPr>
        <w:t>(</w:t>
      </w:r>
      <w:r>
        <w:rPr>
          <w:i/>
          <w:sz w:val="22"/>
          <w:szCs w:val="22"/>
          <w:lang w:val="en-GB"/>
        </w:rPr>
        <w:t>max 100 words</w:t>
      </w:r>
      <w:r w:rsidRPr="005C4C5D">
        <w:rPr>
          <w:i/>
          <w:sz w:val="22"/>
          <w:szCs w:val="22"/>
          <w:lang w:val="en-GB"/>
        </w:rPr>
        <w:t>)</w:t>
      </w:r>
    </w:p>
    <w:p w14:paraId="5FD75CE1" w14:textId="75CC853C" w:rsidR="004C0826" w:rsidRDefault="004C0826" w:rsidP="0048231E">
      <w:pPr>
        <w:rPr>
          <w:rFonts w:ascii="Gill Sans MT" w:eastAsia="Calibri" w:hAnsi="Gill Sans MT" w:cs="Arial"/>
          <w:iCs/>
          <w:color w:val="C91619"/>
          <w:sz w:val="26"/>
          <w:szCs w:val="26"/>
          <w:lang w:val="en-GB"/>
        </w:rPr>
      </w:pPr>
    </w:p>
    <w:p w14:paraId="08143462" w14:textId="641316C0" w:rsidR="004C0826" w:rsidRDefault="004C0826" w:rsidP="004C0826">
      <w:pPr>
        <w:spacing w:before="60" w:after="60"/>
        <w:rPr>
          <w:rFonts w:eastAsia="Times New Roman" w:cs="Arial"/>
          <w:color w:val="000000"/>
          <w:sz w:val="22"/>
        </w:rPr>
      </w:pPr>
      <w:r w:rsidRPr="004D20D9">
        <w:rPr>
          <w:rFonts w:eastAsia="Times New Roman" w:cs="Arial"/>
          <w:b/>
          <w:color w:val="C50000"/>
          <w:sz w:val="22"/>
        </w:rPr>
        <w:t>TOPIC 2: Assessment</w:t>
      </w:r>
      <w:r w:rsidRPr="004D20D9">
        <w:rPr>
          <w:rFonts w:eastAsia="Times New Roman" w:cs="Arial"/>
          <w:color w:val="000000"/>
          <w:sz w:val="22"/>
        </w:rPr>
        <w:t xml:space="preserve"> </w:t>
      </w:r>
    </w:p>
    <w:p w14:paraId="3F14A1C9" w14:textId="5C4CCD23" w:rsidR="00443D4F" w:rsidRDefault="004C0826" w:rsidP="004C0826">
      <w:pPr>
        <w:spacing w:before="60" w:after="60"/>
        <w:rPr>
          <w:sz w:val="22"/>
        </w:rPr>
      </w:pPr>
      <w:r w:rsidRPr="004D20D9">
        <w:rPr>
          <w:b/>
          <w:color w:val="C50000"/>
          <w:sz w:val="22"/>
        </w:rPr>
        <w:t>Session 2.1</w:t>
      </w:r>
      <w:r w:rsidRPr="004D20D9">
        <w:rPr>
          <w:rFonts w:eastAsia="Times New Roman" w:cs="Arial"/>
          <w:color w:val="000000"/>
          <w:sz w:val="22"/>
        </w:rPr>
        <w:t xml:space="preserve"> </w:t>
      </w:r>
      <w:r w:rsidRPr="004D20D9">
        <w:rPr>
          <w:sz w:val="22"/>
        </w:rPr>
        <w:t>Assessment in humanitarian response</w:t>
      </w:r>
    </w:p>
    <w:p w14:paraId="0966A3FD" w14:textId="09D657AA" w:rsidR="00D26430" w:rsidRPr="00473E0B" w:rsidRDefault="00473E0B" w:rsidP="00473E0B">
      <w:pPr>
        <w:pStyle w:val="ListParagraph"/>
        <w:numPr>
          <w:ilvl w:val="0"/>
          <w:numId w:val="6"/>
        </w:numPr>
        <w:rPr>
          <w:i/>
          <w:sz w:val="22"/>
        </w:rPr>
      </w:pPr>
      <w:r w:rsidRPr="00473E0B">
        <w:rPr>
          <w:i/>
          <w:sz w:val="22"/>
        </w:rPr>
        <w:t>Provide examples or sources of available assessment reports, such as baseline data, geographic information (max 100 words)</w:t>
      </w:r>
    </w:p>
    <w:p w14:paraId="6C8E9321" w14:textId="434E39BE" w:rsidR="007C6A72" w:rsidRPr="004D20D9" w:rsidRDefault="004C0826" w:rsidP="004C0826">
      <w:pPr>
        <w:spacing w:before="60" w:after="60"/>
        <w:rPr>
          <w:sz w:val="22"/>
        </w:rPr>
      </w:pPr>
      <w:r w:rsidRPr="004D20D9">
        <w:rPr>
          <w:b/>
          <w:color w:val="C50000"/>
          <w:sz w:val="22"/>
        </w:rPr>
        <w:t>Session 2.2</w:t>
      </w:r>
      <w:r w:rsidRPr="004D20D9">
        <w:rPr>
          <w:sz w:val="22"/>
        </w:rPr>
        <w:t xml:space="preserve"> </w:t>
      </w:r>
      <w:r w:rsidR="00C0177A">
        <w:rPr>
          <w:sz w:val="22"/>
        </w:rPr>
        <w:t>Case Study</w:t>
      </w:r>
    </w:p>
    <w:p w14:paraId="6ACC65C1" w14:textId="04BF6E32" w:rsidR="004C0826" w:rsidRDefault="004C0826" w:rsidP="004C0826">
      <w:pPr>
        <w:spacing w:before="60" w:after="60"/>
        <w:rPr>
          <w:sz w:val="22"/>
        </w:rPr>
      </w:pPr>
      <w:r w:rsidRPr="004D20D9">
        <w:rPr>
          <w:b/>
          <w:color w:val="C50000"/>
          <w:sz w:val="22"/>
        </w:rPr>
        <w:t>Session 2.3</w:t>
      </w:r>
      <w:r w:rsidRPr="004D20D9">
        <w:rPr>
          <w:sz w:val="22"/>
        </w:rPr>
        <w:t xml:space="preserve"> Market assessment</w:t>
      </w:r>
    </w:p>
    <w:p w14:paraId="5ABC048C" w14:textId="6E964A51" w:rsidR="007C6A72" w:rsidRPr="007C6A72" w:rsidRDefault="007C6A72" w:rsidP="007C6A72">
      <w:pPr>
        <w:pStyle w:val="ListParagraph"/>
        <w:numPr>
          <w:ilvl w:val="0"/>
          <w:numId w:val="6"/>
        </w:numPr>
        <w:rPr>
          <w:sz w:val="22"/>
        </w:rPr>
      </w:pPr>
      <w:r>
        <w:rPr>
          <w:i/>
          <w:sz w:val="22"/>
        </w:rPr>
        <w:t>Provide examples of market-based programming interventions beyond C</w:t>
      </w:r>
      <w:r w:rsidR="00C0177A">
        <w:rPr>
          <w:i/>
          <w:sz w:val="22"/>
        </w:rPr>
        <w:t>VA</w:t>
      </w:r>
      <w:r>
        <w:rPr>
          <w:i/>
          <w:sz w:val="22"/>
        </w:rPr>
        <w:t xml:space="preserve"> from the region (see the </w:t>
      </w:r>
      <w:hyperlink r:id="rId15" w:history="1">
        <w:r w:rsidRPr="007C6A72">
          <w:rPr>
            <w:rStyle w:val="Hyperlink"/>
            <w:sz w:val="22"/>
          </w:rPr>
          <w:t>Market Support tip sheet</w:t>
        </w:r>
      </w:hyperlink>
      <w:r>
        <w:rPr>
          <w:i/>
          <w:sz w:val="22"/>
        </w:rPr>
        <w:t xml:space="preserve"> for regionally-specific examples) </w:t>
      </w:r>
      <w:r w:rsidRPr="005C4C5D">
        <w:rPr>
          <w:i/>
          <w:sz w:val="22"/>
          <w:szCs w:val="22"/>
          <w:lang w:val="en-GB"/>
        </w:rPr>
        <w:t>(</w:t>
      </w:r>
      <w:r>
        <w:rPr>
          <w:i/>
          <w:sz w:val="22"/>
          <w:szCs w:val="22"/>
          <w:lang w:val="en-GB"/>
        </w:rPr>
        <w:t>max 100 words</w:t>
      </w:r>
      <w:r w:rsidRPr="005C4C5D">
        <w:rPr>
          <w:i/>
          <w:sz w:val="22"/>
          <w:szCs w:val="22"/>
          <w:lang w:val="en-GB"/>
        </w:rPr>
        <w:t>)</w:t>
      </w:r>
    </w:p>
    <w:p w14:paraId="18D63F99" w14:textId="14A83B78" w:rsidR="004C0826" w:rsidRDefault="004C0826" w:rsidP="004C0826">
      <w:pPr>
        <w:spacing w:before="60" w:after="60"/>
        <w:rPr>
          <w:sz w:val="22"/>
        </w:rPr>
      </w:pPr>
      <w:r w:rsidRPr="004D20D9">
        <w:rPr>
          <w:b/>
          <w:color w:val="C50000"/>
          <w:sz w:val="22"/>
        </w:rPr>
        <w:t>Session 2.4</w:t>
      </w:r>
      <w:r w:rsidRPr="004D20D9">
        <w:rPr>
          <w:sz w:val="22"/>
        </w:rPr>
        <w:t xml:space="preserve"> </w:t>
      </w:r>
      <w:r w:rsidRPr="00D320CB">
        <w:rPr>
          <w:sz w:val="22"/>
        </w:rPr>
        <w:t>Tools and methods for market assessment</w:t>
      </w:r>
    </w:p>
    <w:p w14:paraId="54002F6D" w14:textId="60CACCD4" w:rsidR="007C6A72" w:rsidRPr="007C6A72" w:rsidRDefault="00473E0B" w:rsidP="007C6A72">
      <w:pPr>
        <w:pStyle w:val="ListParagraph"/>
        <w:numPr>
          <w:ilvl w:val="0"/>
          <w:numId w:val="6"/>
        </w:numPr>
        <w:rPr>
          <w:sz w:val="22"/>
        </w:rPr>
      </w:pPr>
      <w:r>
        <w:rPr>
          <w:i/>
          <w:sz w:val="22"/>
        </w:rPr>
        <w:t>Provide examples of recent high-</w:t>
      </w:r>
      <w:r w:rsidR="007C6A72">
        <w:rPr>
          <w:i/>
          <w:sz w:val="22"/>
        </w:rPr>
        <w:t xml:space="preserve">quality market assessment reports (considering examples using different tools </w:t>
      </w:r>
      <w:r w:rsidR="003B0074">
        <w:rPr>
          <w:i/>
          <w:sz w:val="22"/>
        </w:rPr>
        <w:t xml:space="preserve">(including examples of market maps if possible) </w:t>
      </w:r>
      <w:r w:rsidR="007C6A72">
        <w:rPr>
          <w:i/>
          <w:sz w:val="22"/>
        </w:rPr>
        <w:t xml:space="preserve">and covering different sectors) </w:t>
      </w:r>
      <w:r w:rsidR="007C6A72" w:rsidRPr="005C4C5D">
        <w:rPr>
          <w:i/>
          <w:sz w:val="22"/>
          <w:szCs w:val="22"/>
          <w:lang w:val="en-GB"/>
        </w:rPr>
        <w:t>(</w:t>
      </w:r>
      <w:r w:rsidR="007C6A72">
        <w:rPr>
          <w:i/>
          <w:sz w:val="22"/>
          <w:szCs w:val="22"/>
          <w:lang w:val="en-GB"/>
        </w:rPr>
        <w:t>max 100 words</w:t>
      </w:r>
      <w:r w:rsidR="007C6A72" w:rsidRPr="005C4C5D">
        <w:rPr>
          <w:i/>
          <w:sz w:val="22"/>
          <w:szCs w:val="22"/>
          <w:lang w:val="en-GB"/>
        </w:rPr>
        <w:t>)</w:t>
      </w:r>
    </w:p>
    <w:p w14:paraId="32D7A1FE" w14:textId="77777777" w:rsidR="004C0826" w:rsidRDefault="004C0826" w:rsidP="004C0826">
      <w:pPr>
        <w:spacing w:before="60" w:after="60"/>
        <w:rPr>
          <w:rFonts w:eastAsia="Times New Roman" w:cs="Arial"/>
          <w:color w:val="000000"/>
          <w:sz w:val="22"/>
        </w:rPr>
      </w:pPr>
    </w:p>
    <w:p w14:paraId="3066C09D" w14:textId="3DBB3065" w:rsidR="004C0826" w:rsidRDefault="004C0826" w:rsidP="004C0826">
      <w:pPr>
        <w:spacing w:before="60" w:after="60"/>
        <w:rPr>
          <w:rFonts w:eastAsia="Times New Roman" w:cs="Arial"/>
          <w:color w:val="000000"/>
          <w:sz w:val="22"/>
        </w:rPr>
      </w:pPr>
      <w:r w:rsidRPr="004D20D9">
        <w:rPr>
          <w:rFonts w:eastAsia="Times New Roman" w:cs="Arial"/>
          <w:b/>
          <w:color w:val="C50000"/>
          <w:sz w:val="22"/>
        </w:rPr>
        <w:t>TOPIC 3: Analysis</w:t>
      </w:r>
      <w:r w:rsidRPr="004D20D9">
        <w:rPr>
          <w:rFonts w:eastAsia="Times New Roman" w:cs="Arial"/>
          <w:color w:val="000000"/>
          <w:sz w:val="22"/>
        </w:rPr>
        <w:t xml:space="preserve"> </w:t>
      </w:r>
    </w:p>
    <w:p w14:paraId="513C67E2" w14:textId="1D3FEFFB" w:rsidR="004C0826" w:rsidRDefault="004C0826" w:rsidP="004C0826">
      <w:pPr>
        <w:spacing w:before="60" w:after="60"/>
        <w:rPr>
          <w:sz w:val="22"/>
        </w:rPr>
      </w:pPr>
      <w:r w:rsidRPr="004D20D9">
        <w:rPr>
          <w:b/>
          <w:color w:val="C50000"/>
          <w:sz w:val="22"/>
        </w:rPr>
        <w:t>Session 3.1</w:t>
      </w:r>
      <w:r w:rsidRPr="004D20D9">
        <w:rPr>
          <w:sz w:val="22"/>
        </w:rPr>
        <w:t xml:space="preserve"> </w:t>
      </w:r>
      <w:r w:rsidR="00C0177A">
        <w:rPr>
          <w:sz w:val="22"/>
        </w:rPr>
        <w:t>Delivery Mechanisms Analysis</w:t>
      </w:r>
    </w:p>
    <w:p w14:paraId="2B88F1E9" w14:textId="2E079864" w:rsidR="007C6A72" w:rsidRPr="007C6A72" w:rsidRDefault="007C6A72" w:rsidP="007C6A72">
      <w:pPr>
        <w:pStyle w:val="ListParagraph"/>
        <w:numPr>
          <w:ilvl w:val="0"/>
          <w:numId w:val="6"/>
        </w:numPr>
        <w:rPr>
          <w:sz w:val="22"/>
        </w:rPr>
      </w:pPr>
      <w:r>
        <w:rPr>
          <w:i/>
          <w:sz w:val="22"/>
        </w:rPr>
        <w:t xml:space="preserve">Provide examples of recent high quality feasibility assessment reports (focusing in particular inter-agency reports if available) </w:t>
      </w:r>
      <w:r w:rsidRPr="005C4C5D">
        <w:rPr>
          <w:i/>
          <w:sz w:val="22"/>
          <w:szCs w:val="22"/>
          <w:lang w:val="en-GB"/>
        </w:rPr>
        <w:t>(</w:t>
      </w:r>
      <w:r>
        <w:rPr>
          <w:i/>
          <w:sz w:val="22"/>
          <w:szCs w:val="22"/>
          <w:lang w:val="en-GB"/>
        </w:rPr>
        <w:t>max 100 words</w:t>
      </w:r>
      <w:r w:rsidRPr="005C4C5D">
        <w:rPr>
          <w:i/>
          <w:sz w:val="22"/>
          <w:szCs w:val="22"/>
          <w:lang w:val="en-GB"/>
        </w:rPr>
        <w:t>)</w:t>
      </w:r>
    </w:p>
    <w:p w14:paraId="481367FB" w14:textId="33C7D7A2" w:rsidR="007C6A72" w:rsidRPr="0048348E" w:rsidRDefault="007C6A72" w:rsidP="004C0826">
      <w:pPr>
        <w:pStyle w:val="ListParagraph"/>
        <w:numPr>
          <w:ilvl w:val="0"/>
          <w:numId w:val="6"/>
        </w:numPr>
        <w:rPr>
          <w:sz w:val="22"/>
        </w:rPr>
      </w:pPr>
      <w:r>
        <w:rPr>
          <w:i/>
          <w:sz w:val="22"/>
          <w:szCs w:val="22"/>
          <w:lang w:val="en-GB"/>
        </w:rPr>
        <w:t>Provide links to websites or videos of contextually-specific financial service providers and/or ca</w:t>
      </w:r>
      <w:r w:rsidR="0048348E">
        <w:rPr>
          <w:i/>
          <w:sz w:val="22"/>
          <w:szCs w:val="22"/>
          <w:lang w:val="en-GB"/>
        </w:rPr>
        <w:t>se studies of how humanitarian agencies have worked with these</w:t>
      </w:r>
    </w:p>
    <w:p w14:paraId="268997F4" w14:textId="010F5D6C" w:rsidR="004C0826" w:rsidRDefault="004C0826" w:rsidP="004C0826">
      <w:pPr>
        <w:spacing w:before="60" w:after="60"/>
        <w:rPr>
          <w:sz w:val="22"/>
        </w:rPr>
      </w:pPr>
      <w:r w:rsidRPr="004D20D9">
        <w:rPr>
          <w:b/>
          <w:color w:val="C50000"/>
          <w:sz w:val="22"/>
        </w:rPr>
        <w:t>Session 3.2</w:t>
      </w:r>
      <w:r w:rsidRPr="004D20D9">
        <w:rPr>
          <w:sz w:val="22"/>
        </w:rPr>
        <w:t xml:space="preserve"> Risk analysis</w:t>
      </w:r>
    </w:p>
    <w:p w14:paraId="5EF0386E" w14:textId="33038977" w:rsidR="007C6A72" w:rsidRPr="007C6A72" w:rsidRDefault="007C6A72" w:rsidP="470A84F4">
      <w:pPr>
        <w:pStyle w:val="ListParagraph"/>
        <w:numPr>
          <w:ilvl w:val="0"/>
          <w:numId w:val="6"/>
        </w:numPr>
        <w:rPr>
          <w:sz w:val="22"/>
          <w:szCs w:val="22"/>
        </w:rPr>
      </w:pPr>
      <w:r w:rsidRPr="470A84F4">
        <w:rPr>
          <w:i/>
          <w:iCs/>
          <w:sz w:val="22"/>
          <w:szCs w:val="22"/>
        </w:rPr>
        <w:t>Identify any context-specific C</w:t>
      </w:r>
      <w:r w:rsidR="00C0177A" w:rsidRPr="470A84F4">
        <w:rPr>
          <w:i/>
          <w:iCs/>
          <w:sz w:val="22"/>
          <w:szCs w:val="22"/>
        </w:rPr>
        <w:t>VA</w:t>
      </w:r>
      <w:r w:rsidRPr="470A84F4">
        <w:rPr>
          <w:i/>
          <w:iCs/>
          <w:sz w:val="22"/>
          <w:szCs w:val="22"/>
        </w:rPr>
        <w:t>-related risks. Refer to resources on CALP’s (upcoming) C</w:t>
      </w:r>
      <w:r w:rsidR="00C0177A" w:rsidRPr="470A84F4">
        <w:rPr>
          <w:i/>
          <w:iCs/>
          <w:sz w:val="22"/>
          <w:szCs w:val="22"/>
        </w:rPr>
        <w:t>VA</w:t>
      </w:r>
      <w:r w:rsidRPr="470A84F4">
        <w:rPr>
          <w:i/>
          <w:iCs/>
          <w:sz w:val="22"/>
          <w:szCs w:val="22"/>
        </w:rPr>
        <w:t xml:space="preserve"> &amp; risk thematic page as relevant </w:t>
      </w:r>
      <w:r w:rsidRPr="470A84F4">
        <w:rPr>
          <w:i/>
          <w:iCs/>
          <w:sz w:val="22"/>
          <w:szCs w:val="22"/>
          <w:lang w:val="en-GB"/>
        </w:rPr>
        <w:t>(max 100 words)</w:t>
      </w:r>
    </w:p>
    <w:p w14:paraId="33C1583D" w14:textId="7964C775" w:rsidR="004C0826" w:rsidRDefault="004C0826" w:rsidP="004C0826">
      <w:pPr>
        <w:spacing w:before="60" w:after="60"/>
        <w:rPr>
          <w:rFonts w:eastAsia="Times New Roman" w:cs="Arial"/>
          <w:color w:val="000000"/>
          <w:sz w:val="22"/>
        </w:rPr>
      </w:pPr>
      <w:r w:rsidRPr="004D20D9">
        <w:rPr>
          <w:b/>
          <w:color w:val="C50000"/>
          <w:sz w:val="22"/>
        </w:rPr>
        <w:t>Session 3.3</w:t>
      </w:r>
      <w:r w:rsidRPr="004D20D9">
        <w:rPr>
          <w:sz w:val="22"/>
        </w:rPr>
        <w:t xml:space="preserve"> </w:t>
      </w:r>
      <w:r w:rsidRPr="004D20D9">
        <w:rPr>
          <w:rFonts w:eastAsia="Times New Roman" w:cs="Arial"/>
          <w:color w:val="000000"/>
          <w:sz w:val="22"/>
        </w:rPr>
        <w:t>Response analysis</w:t>
      </w:r>
    </w:p>
    <w:p w14:paraId="257BDDD1" w14:textId="6F5D8B93" w:rsidR="007C6A72" w:rsidRPr="007C6A72" w:rsidRDefault="0048348E" w:rsidP="007C6A72">
      <w:pPr>
        <w:pStyle w:val="ListParagraph"/>
        <w:numPr>
          <w:ilvl w:val="0"/>
          <w:numId w:val="6"/>
        </w:numPr>
        <w:rPr>
          <w:sz w:val="22"/>
        </w:rPr>
      </w:pPr>
      <w:r>
        <w:rPr>
          <w:i/>
          <w:sz w:val="22"/>
        </w:rPr>
        <w:t>Provide examples of any</w:t>
      </w:r>
      <w:r w:rsidR="007C6A72">
        <w:rPr>
          <w:i/>
          <w:sz w:val="22"/>
        </w:rPr>
        <w:t xml:space="preserve"> recent high quality response analysis reports (focusing in particular inter-agency reports if available) </w:t>
      </w:r>
      <w:r w:rsidR="007C6A72" w:rsidRPr="005C4C5D">
        <w:rPr>
          <w:i/>
          <w:sz w:val="22"/>
          <w:szCs w:val="22"/>
          <w:lang w:val="en-GB"/>
        </w:rPr>
        <w:t>(</w:t>
      </w:r>
      <w:r w:rsidR="007C6A72">
        <w:rPr>
          <w:i/>
          <w:sz w:val="22"/>
          <w:szCs w:val="22"/>
          <w:lang w:val="en-GB"/>
        </w:rPr>
        <w:t>max 100 words</w:t>
      </w:r>
      <w:r w:rsidR="007C6A72" w:rsidRPr="005C4C5D">
        <w:rPr>
          <w:i/>
          <w:sz w:val="22"/>
          <w:szCs w:val="22"/>
          <w:lang w:val="en-GB"/>
        </w:rPr>
        <w:t>)</w:t>
      </w:r>
    </w:p>
    <w:p w14:paraId="35AC1AB6" w14:textId="2A44C2ED" w:rsidR="004C0826" w:rsidRDefault="004C0826" w:rsidP="004C0826">
      <w:pPr>
        <w:spacing w:before="60" w:after="60"/>
        <w:rPr>
          <w:sz w:val="22"/>
        </w:rPr>
      </w:pPr>
      <w:r w:rsidRPr="004D20D9">
        <w:rPr>
          <w:b/>
          <w:color w:val="C50000"/>
          <w:sz w:val="22"/>
        </w:rPr>
        <w:t>Session 3.4</w:t>
      </w:r>
      <w:r w:rsidRPr="004D20D9">
        <w:rPr>
          <w:sz w:val="22"/>
        </w:rPr>
        <w:t xml:space="preserve"> </w:t>
      </w:r>
      <w:r>
        <w:rPr>
          <w:sz w:val="22"/>
        </w:rPr>
        <w:t>Gap analysis and transfer value</w:t>
      </w:r>
    </w:p>
    <w:p w14:paraId="5412DB34" w14:textId="67771230" w:rsidR="007C6A72" w:rsidRPr="007C6A72" w:rsidRDefault="007C6A72" w:rsidP="007C6A72">
      <w:pPr>
        <w:pStyle w:val="ListParagraph"/>
        <w:numPr>
          <w:ilvl w:val="0"/>
          <w:numId w:val="6"/>
        </w:numPr>
        <w:rPr>
          <w:rFonts w:eastAsia="Times New Roman" w:cs="Arial"/>
          <w:color w:val="000000"/>
          <w:sz w:val="22"/>
        </w:rPr>
      </w:pPr>
      <w:r>
        <w:rPr>
          <w:rFonts w:eastAsia="Times New Roman" w:cs="Arial"/>
          <w:i/>
          <w:color w:val="000000"/>
          <w:sz w:val="22"/>
        </w:rPr>
        <w:t xml:space="preserve">Provide examples of MEB’s and/or links to regional learning on the development of MEB’s </w:t>
      </w:r>
      <w:r w:rsidRPr="005C4C5D">
        <w:rPr>
          <w:i/>
          <w:sz w:val="22"/>
          <w:szCs w:val="22"/>
          <w:lang w:val="en-GB"/>
        </w:rPr>
        <w:t>(</w:t>
      </w:r>
      <w:r>
        <w:rPr>
          <w:i/>
          <w:sz w:val="22"/>
          <w:szCs w:val="22"/>
          <w:lang w:val="en-GB"/>
        </w:rPr>
        <w:t>max 100 words</w:t>
      </w:r>
      <w:r w:rsidRPr="005C4C5D">
        <w:rPr>
          <w:i/>
          <w:sz w:val="22"/>
          <w:szCs w:val="22"/>
          <w:lang w:val="en-GB"/>
        </w:rPr>
        <w:t>)</w:t>
      </w:r>
    </w:p>
    <w:p w14:paraId="4D661E7D" w14:textId="77777777" w:rsidR="004C0826" w:rsidRDefault="004C0826" w:rsidP="004C0826">
      <w:pPr>
        <w:spacing w:before="60" w:after="60"/>
        <w:rPr>
          <w:rFonts w:eastAsia="Times New Roman" w:cs="Arial"/>
          <w:color w:val="000000"/>
          <w:sz w:val="22"/>
        </w:rPr>
      </w:pPr>
    </w:p>
    <w:p w14:paraId="51DA553F" w14:textId="2CEAF757" w:rsidR="004C0826" w:rsidRDefault="004C0826" w:rsidP="004C0826">
      <w:pPr>
        <w:spacing w:before="60" w:after="60"/>
        <w:rPr>
          <w:rFonts w:eastAsia="Times New Roman" w:cs="Arial"/>
          <w:b/>
          <w:color w:val="C50000"/>
          <w:sz w:val="22"/>
        </w:rPr>
      </w:pPr>
      <w:r w:rsidRPr="008A759F">
        <w:rPr>
          <w:rFonts w:eastAsia="Times New Roman" w:cs="Arial"/>
          <w:b/>
          <w:color w:val="C50000"/>
          <w:sz w:val="22"/>
        </w:rPr>
        <w:t>TOPIC 4: Design &amp; Implementation</w:t>
      </w:r>
    </w:p>
    <w:p w14:paraId="4D1F87D1" w14:textId="32C2F161" w:rsidR="004C0826" w:rsidRDefault="004C0826" w:rsidP="004C0826">
      <w:pPr>
        <w:spacing w:before="60" w:after="60"/>
        <w:rPr>
          <w:sz w:val="22"/>
        </w:rPr>
      </w:pPr>
      <w:r w:rsidRPr="008A759F">
        <w:rPr>
          <w:b/>
          <w:color w:val="C50000"/>
          <w:sz w:val="22"/>
        </w:rPr>
        <w:t>Session 4.1</w:t>
      </w:r>
      <w:r w:rsidRPr="008A759F">
        <w:rPr>
          <w:sz w:val="22"/>
        </w:rPr>
        <w:t xml:space="preserve"> </w:t>
      </w:r>
      <w:r>
        <w:rPr>
          <w:sz w:val="22"/>
        </w:rPr>
        <w:t>Targeting and registration</w:t>
      </w:r>
    </w:p>
    <w:p w14:paraId="7BB2F159" w14:textId="3E6067A3" w:rsidR="007C6A72" w:rsidRPr="0048348E" w:rsidRDefault="0048348E" w:rsidP="004C0826">
      <w:pPr>
        <w:pStyle w:val="ListParagraph"/>
        <w:numPr>
          <w:ilvl w:val="0"/>
          <w:numId w:val="6"/>
        </w:numPr>
        <w:rPr>
          <w:sz w:val="22"/>
        </w:rPr>
      </w:pPr>
      <w:r>
        <w:rPr>
          <w:i/>
          <w:sz w:val="22"/>
        </w:rPr>
        <w:t>Provide examples of</w:t>
      </w:r>
      <w:r w:rsidR="007C6A72">
        <w:rPr>
          <w:i/>
          <w:sz w:val="22"/>
        </w:rPr>
        <w:t xml:space="preserve"> any targeting guidance and/or reviews of targeting processes for C</w:t>
      </w:r>
      <w:r w:rsidR="00C0177A">
        <w:rPr>
          <w:i/>
          <w:sz w:val="22"/>
        </w:rPr>
        <w:t>VA</w:t>
      </w:r>
      <w:r w:rsidR="007C6A72">
        <w:rPr>
          <w:i/>
          <w:sz w:val="22"/>
        </w:rPr>
        <w:t xml:space="preserve"> (and/or shock-responsive social protection) </w:t>
      </w:r>
      <w:r w:rsidR="007C6A72" w:rsidRPr="005C4C5D">
        <w:rPr>
          <w:i/>
          <w:sz w:val="22"/>
          <w:szCs w:val="22"/>
          <w:lang w:val="en-GB"/>
        </w:rPr>
        <w:t>(</w:t>
      </w:r>
      <w:r w:rsidR="007C6A72">
        <w:rPr>
          <w:i/>
          <w:sz w:val="22"/>
          <w:szCs w:val="22"/>
          <w:lang w:val="en-GB"/>
        </w:rPr>
        <w:t>max 100 words</w:t>
      </w:r>
      <w:r w:rsidR="007C6A72" w:rsidRPr="005C4C5D">
        <w:rPr>
          <w:i/>
          <w:sz w:val="22"/>
          <w:szCs w:val="22"/>
          <w:lang w:val="en-GB"/>
        </w:rPr>
        <w:t>)</w:t>
      </w:r>
    </w:p>
    <w:p w14:paraId="5B6572BB" w14:textId="1EC34D9B" w:rsidR="004C0826" w:rsidRDefault="004C0826" w:rsidP="004C0826">
      <w:pPr>
        <w:spacing w:before="60" w:after="60"/>
        <w:rPr>
          <w:sz w:val="22"/>
        </w:rPr>
      </w:pPr>
      <w:r w:rsidRPr="008A759F">
        <w:rPr>
          <w:b/>
          <w:color w:val="C50000"/>
          <w:sz w:val="22"/>
        </w:rPr>
        <w:t>Session 4.2</w:t>
      </w:r>
      <w:r w:rsidRPr="008A759F">
        <w:rPr>
          <w:b/>
          <w:color w:val="C40000"/>
          <w:sz w:val="22"/>
        </w:rPr>
        <w:t xml:space="preserve"> </w:t>
      </w:r>
      <w:r w:rsidRPr="008A759F">
        <w:rPr>
          <w:sz w:val="22"/>
        </w:rPr>
        <w:t>Working with service providers and partners</w:t>
      </w:r>
    </w:p>
    <w:p w14:paraId="17FDCE87" w14:textId="4FAE822D" w:rsidR="0048348E" w:rsidRPr="0048348E" w:rsidRDefault="0048348E" w:rsidP="0048348E">
      <w:pPr>
        <w:pStyle w:val="ListParagraph"/>
        <w:numPr>
          <w:ilvl w:val="0"/>
          <w:numId w:val="6"/>
        </w:numPr>
        <w:rPr>
          <w:sz w:val="22"/>
        </w:rPr>
      </w:pPr>
      <w:r>
        <w:rPr>
          <w:i/>
          <w:sz w:val="22"/>
        </w:rPr>
        <w:t xml:space="preserve">Provide examples of any regionally-specific case studies on digital payments (check all </w:t>
      </w:r>
      <w:hyperlink r:id="rId16" w:history="1">
        <w:r w:rsidRPr="0048348E">
          <w:rPr>
            <w:rStyle w:val="Hyperlink"/>
            <w:sz w:val="22"/>
          </w:rPr>
          <w:t>ELAN resources</w:t>
        </w:r>
      </w:hyperlink>
      <w:r>
        <w:rPr>
          <w:i/>
          <w:sz w:val="22"/>
        </w:rPr>
        <w:t>) and/</w:t>
      </w:r>
      <w:r>
        <w:rPr>
          <w:i/>
          <w:sz w:val="22"/>
          <w:szCs w:val="22"/>
          <w:lang w:val="en-GB"/>
        </w:rPr>
        <w:t xml:space="preserve">or videos of contextually-specific financial service providers </w:t>
      </w:r>
      <w:r w:rsidRPr="005C4C5D">
        <w:rPr>
          <w:i/>
          <w:sz w:val="22"/>
          <w:szCs w:val="22"/>
          <w:lang w:val="en-GB"/>
        </w:rPr>
        <w:t>(</w:t>
      </w:r>
      <w:r>
        <w:rPr>
          <w:i/>
          <w:sz w:val="22"/>
          <w:szCs w:val="22"/>
          <w:lang w:val="en-GB"/>
        </w:rPr>
        <w:t>max 100 words</w:t>
      </w:r>
      <w:r w:rsidRPr="005C4C5D">
        <w:rPr>
          <w:i/>
          <w:sz w:val="22"/>
          <w:szCs w:val="22"/>
          <w:lang w:val="en-GB"/>
        </w:rPr>
        <w:t>)</w:t>
      </w:r>
      <w:r>
        <w:rPr>
          <w:i/>
          <w:sz w:val="22"/>
          <w:szCs w:val="22"/>
          <w:lang w:val="en-GB"/>
        </w:rPr>
        <w:t xml:space="preserve"> </w:t>
      </w:r>
    </w:p>
    <w:p w14:paraId="3F94D808" w14:textId="58C56295" w:rsidR="0048348E" w:rsidRPr="004C0826" w:rsidRDefault="004C0826" w:rsidP="004C0826">
      <w:pPr>
        <w:spacing w:before="60" w:after="60"/>
        <w:rPr>
          <w:rFonts w:eastAsia="Times New Roman" w:cs="Arial"/>
          <w:color w:val="000000"/>
          <w:sz w:val="22"/>
        </w:rPr>
      </w:pPr>
      <w:r w:rsidRPr="008A759F">
        <w:rPr>
          <w:b/>
          <w:color w:val="C50000"/>
          <w:sz w:val="22"/>
        </w:rPr>
        <w:t>Session 4.3</w:t>
      </w:r>
      <w:r w:rsidRPr="008A759F">
        <w:rPr>
          <w:sz w:val="22"/>
        </w:rPr>
        <w:t xml:space="preserve"> </w:t>
      </w:r>
      <w:r>
        <w:rPr>
          <w:rFonts w:eastAsia="Times New Roman" w:cs="Arial"/>
          <w:color w:val="000000"/>
          <w:sz w:val="22"/>
        </w:rPr>
        <w:t>Distribution and reconciliation</w:t>
      </w:r>
    </w:p>
    <w:p w14:paraId="3F3678F6" w14:textId="17E22578" w:rsidR="004C0826" w:rsidRPr="008A759F" w:rsidRDefault="004C0826" w:rsidP="004C0826">
      <w:pPr>
        <w:spacing w:before="60" w:after="60"/>
        <w:rPr>
          <w:sz w:val="22"/>
        </w:rPr>
      </w:pPr>
      <w:r w:rsidRPr="008A759F">
        <w:rPr>
          <w:b/>
          <w:color w:val="C50000"/>
          <w:sz w:val="22"/>
        </w:rPr>
        <w:t>Session 4.4</w:t>
      </w:r>
      <w:r w:rsidRPr="008A759F">
        <w:rPr>
          <w:sz w:val="22"/>
        </w:rPr>
        <w:t xml:space="preserve"> </w:t>
      </w:r>
      <w:r w:rsidR="00C0177A">
        <w:rPr>
          <w:sz w:val="22"/>
        </w:rPr>
        <w:t>Accountability &amp; data protection</w:t>
      </w:r>
    </w:p>
    <w:p w14:paraId="39550392" w14:textId="5E03837A" w:rsidR="0048348E" w:rsidRPr="0048348E" w:rsidRDefault="0048348E" w:rsidP="0048348E">
      <w:pPr>
        <w:pStyle w:val="ListParagraph"/>
        <w:numPr>
          <w:ilvl w:val="0"/>
          <w:numId w:val="6"/>
        </w:numPr>
        <w:rPr>
          <w:sz w:val="22"/>
        </w:rPr>
      </w:pPr>
      <w:r w:rsidRPr="0048348E">
        <w:rPr>
          <w:i/>
          <w:sz w:val="22"/>
        </w:rPr>
        <w:t xml:space="preserve">Provide links to any regionally-specific case studies on </w:t>
      </w:r>
      <w:r w:rsidR="00C0177A">
        <w:rPr>
          <w:i/>
          <w:sz w:val="22"/>
        </w:rPr>
        <w:t xml:space="preserve">accountability </w:t>
      </w:r>
      <w:r w:rsidR="00C5700F">
        <w:rPr>
          <w:i/>
          <w:sz w:val="22"/>
        </w:rPr>
        <w:t xml:space="preserve">to affected populations </w:t>
      </w:r>
      <w:r w:rsidR="00C0177A">
        <w:rPr>
          <w:i/>
          <w:sz w:val="22"/>
        </w:rPr>
        <w:t>and data protection</w:t>
      </w:r>
      <w:r>
        <w:rPr>
          <w:sz w:val="22"/>
        </w:rPr>
        <w:t xml:space="preserve"> </w:t>
      </w:r>
      <w:r w:rsidRPr="005C4C5D">
        <w:rPr>
          <w:i/>
          <w:sz w:val="22"/>
          <w:szCs w:val="22"/>
          <w:lang w:val="en-GB"/>
        </w:rPr>
        <w:t>(</w:t>
      </w:r>
      <w:r>
        <w:rPr>
          <w:i/>
          <w:sz w:val="22"/>
          <w:szCs w:val="22"/>
          <w:lang w:val="en-GB"/>
        </w:rPr>
        <w:t>max 100 words</w:t>
      </w:r>
      <w:r w:rsidRPr="005C4C5D">
        <w:rPr>
          <w:i/>
          <w:sz w:val="22"/>
          <w:szCs w:val="22"/>
          <w:lang w:val="en-GB"/>
        </w:rPr>
        <w:t>)</w:t>
      </w:r>
    </w:p>
    <w:p w14:paraId="1783C698" w14:textId="77777777" w:rsidR="004C0826" w:rsidRDefault="004C0826" w:rsidP="004C0826">
      <w:pPr>
        <w:spacing w:before="60" w:after="60"/>
        <w:rPr>
          <w:rFonts w:eastAsia="Times New Roman" w:cs="Arial"/>
          <w:b/>
          <w:color w:val="C50000"/>
          <w:sz w:val="22"/>
        </w:rPr>
      </w:pPr>
    </w:p>
    <w:p w14:paraId="58AE3CF6" w14:textId="42A8832D" w:rsidR="004C0826" w:rsidRDefault="004C0826" w:rsidP="004C0826">
      <w:pPr>
        <w:spacing w:before="60" w:after="60"/>
        <w:rPr>
          <w:rFonts w:eastAsia="Times New Roman" w:cs="Arial"/>
          <w:b/>
          <w:color w:val="C50000"/>
          <w:sz w:val="22"/>
        </w:rPr>
      </w:pPr>
      <w:r>
        <w:rPr>
          <w:rFonts w:eastAsia="Times New Roman" w:cs="Arial"/>
          <w:b/>
          <w:color w:val="C50000"/>
          <w:sz w:val="22"/>
        </w:rPr>
        <w:t>TOPIC 5: Monitoring</w:t>
      </w:r>
    </w:p>
    <w:p w14:paraId="55BD2AC4" w14:textId="6FBC915C" w:rsidR="004C0826" w:rsidRDefault="004C0826" w:rsidP="004C0826">
      <w:pPr>
        <w:spacing w:before="60" w:after="60"/>
        <w:rPr>
          <w:sz w:val="22"/>
        </w:rPr>
      </w:pPr>
      <w:r w:rsidRPr="008A759F">
        <w:rPr>
          <w:b/>
          <w:color w:val="C50000"/>
          <w:sz w:val="22"/>
        </w:rPr>
        <w:t>Session 5.1</w:t>
      </w:r>
      <w:r w:rsidRPr="008A759F">
        <w:rPr>
          <w:sz w:val="22"/>
        </w:rPr>
        <w:t xml:space="preserve"> Monitor what?</w:t>
      </w:r>
    </w:p>
    <w:p w14:paraId="0F32657A" w14:textId="0AC492AF" w:rsidR="0048348E" w:rsidRPr="0048348E" w:rsidRDefault="0048348E" w:rsidP="0048348E">
      <w:pPr>
        <w:pStyle w:val="ListParagraph"/>
        <w:numPr>
          <w:ilvl w:val="0"/>
          <w:numId w:val="6"/>
        </w:numPr>
        <w:rPr>
          <w:sz w:val="22"/>
        </w:rPr>
      </w:pPr>
      <w:r>
        <w:rPr>
          <w:i/>
          <w:sz w:val="22"/>
        </w:rPr>
        <w:t xml:space="preserve">Provide examples of any </w:t>
      </w:r>
      <w:r w:rsidR="002D14F7">
        <w:rPr>
          <w:i/>
          <w:sz w:val="22"/>
        </w:rPr>
        <w:t>high-quality</w:t>
      </w:r>
      <w:r>
        <w:rPr>
          <w:i/>
          <w:sz w:val="22"/>
        </w:rPr>
        <w:t xml:space="preserve"> monitoring reports (focus on inter-agency and/or multi-sectoral) </w:t>
      </w:r>
      <w:r w:rsidRPr="005C4C5D">
        <w:rPr>
          <w:i/>
          <w:sz w:val="22"/>
          <w:szCs w:val="22"/>
          <w:lang w:val="en-GB"/>
        </w:rPr>
        <w:t>(</w:t>
      </w:r>
      <w:r>
        <w:rPr>
          <w:i/>
          <w:sz w:val="22"/>
          <w:szCs w:val="22"/>
          <w:lang w:val="en-GB"/>
        </w:rPr>
        <w:t>max 100 words</w:t>
      </w:r>
      <w:r w:rsidRPr="005C4C5D">
        <w:rPr>
          <w:i/>
          <w:sz w:val="22"/>
          <w:szCs w:val="22"/>
          <w:lang w:val="en-GB"/>
        </w:rPr>
        <w:t>)</w:t>
      </w:r>
    </w:p>
    <w:p w14:paraId="3021792C" w14:textId="77777777" w:rsidR="0048348E" w:rsidRPr="008A759F" w:rsidRDefault="0048348E" w:rsidP="004C0826">
      <w:pPr>
        <w:spacing w:before="60" w:after="60"/>
        <w:rPr>
          <w:rFonts w:eastAsia="Times New Roman" w:cs="Arial"/>
          <w:color w:val="000000"/>
          <w:sz w:val="22"/>
        </w:rPr>
      </w:pPr>
    </w:p>
    <w:p w14:paraId="51C4FA87" w14:textId="44EECF57" w:rsidR="004C0826" w:rsidRDefault="004C0826" w:rsidP="004C0826">
      <w:pPr>
        <w:spacing w:before="60" w:after="60"/>
        <w:rPr>
          <w:sz w:val="22"/>
        </w:rPr>
      </w:pPr>
      <w:r w:rsidRPr="008A759F">
        <w:rPr>
          <w:b/>
          <w:color w:val="C50000"/>
          <w:sz w:val="22"/>
        </w:rPr>
        <w:t xml:space="preserve">Session 5.2 </w:t>
      </w:r>
      <w:r w:rsidRPr="008A759F">
        <w:rPr>
          <w:sz w:val="22"/>
        </w:rPr>
        <w:t>Market monitoring</w:t>
      </w:r>
    </w:p>
    <w:p w14:paraId="175A400D" w14:textId="7F55B4FB" w:rsidR="0048348E" w:rsidRPr="0048348E" w:rsidRDefault="0048348E" w:rsidP="0048348E">
      <w:pPr>
        <w:pStyle w:val="ListParagraph"/>
        <w:numPr>
          <w:ilvl w:val="0"/>
          <w:numId w:val="6"/>
        </w:numPr>
        <w:rPr>
          <w:sz w:val="22"/>
        </w:rPr>
      </w:pPr>
      <w:r>
        <w:rPr>
          <w:i/>
          <w:sz w:val="22"/>
        </w:rPr>
        <w:t xml:space="preserve">Provide examples of any </w:t>
      </w:r>
      <w:r w:rsidR="002D14F7">
        <w:rPr>
          <w:i/>
          <w:sz w:val="22"/>
        </w:rPr>
        <w:t>high-quality</w:t>
      </w:r>
      <w:r>
        <w:rPr>
          <w:i/>
          <w:sz w:val="22"/>
        </w:rPr>
        <w:t xml:space="preserve"> market monitoring reports </w:t>
      </w:r>
      <w:r w:rsidRPr="005C4C5D">
        <w:rPr>
          <w:i/>
          <w:sz w:val="22"/>
          <w:szCs w:val="22"/>
          <w:lang w:val="en-GB"/>
        </w:rPr>
        <w:t>(</w:t>
      </w:r>
      <w:r>
        <w:rPr>
          <w:i/>
          <w:sz w:val="22"/>
          <w:szCs w:val="22"/>
          <w:lang w:val="en-GB"/>
        </w:rPr>
        <w:t>max 100 words</w:t>
      </w:r>
      <w:r w:rsidRPr="005C4C5D">
        <w:rPr>
          <w:i/>
          <w:sz w:val="22"/>
          <w:szCs w:val="22"/>
          <w:lang w:val="en-GB"/>
        </w:rPr>
        <w:t>)</w:t>
      </w:r>
    </w:p>
    <w:p w14:paraId="18952894" w14:textId="77777777" w:rsidR="004C0826" w:rsidRDefault="004C0826" w:rsidP="004C0826">
      <w:pPr>
        <w:spacing w:before="60" w:after="60"/>
        <w:rPr>
          <w:sz w:val="22"/>
        </w:rPr>
      </w:pPr>
    </w:p>
    <w:p w14:paraId="737B3507" w14:textId="471D31DA" w:rsidR="004C0826" w:rsidRPr="008A759F" w:rsidRDefault="004C0826" w:rsidP="004C0826">
      <w:pPr>
        <w:spacing w:before="60" w:after="60"/>
        <w:rPr>
          <w:rFonts w:eastAsia="Times New Roman" w:cs="Arial"/>
          <w:color w:val="000000"/>
          <w:sz w:val="22"/>
        </w:rPr>
      </w:pPr>
      <w:r>
        <w:rPr>
          <w:rFonts w:eastAsia="Times New Roman" w:cs="Arial"/>
          <w:b/>
          <w:color w:val="C50000"/>
          <w:sz w:val="22"/>
        </w:rPr>
        <w:t xml:space="preserve">TOPIC 6: </w:t>
      </w:r>
      <w:r w:rsidR="00C5700F">
        <w:rPr>
          <w:rFonts w:eastAsia="Times New Roman" w:cs="Arial"/>
          <w:b/>
          <w:color w:val="C50000"/>
          <w:sz w:val="22"/>
        </w:rPr>
        <w:t>Beyond emergency CVA</w:t>
      </w:r>
    </w:p>
    <w:p w14:paraId="617BB3DC" w14:textId="19489AF9" w:rsidR="0048348E" w:rsidRDefault="004C0826" w:rsidP="0048348E">
      <w:pPr>
        <w:spacing w:before="60" w:after="60"/>
        <w:rPr>
          <w:sz w:val="22"/>
        </w:rPr>
      </w:pPr>
      <w:r>
        <w:rPr>
          <w:b/>
          <w:color w:val="C50000"/>
          <w:sz w:val="22"/>
        </w:rPr>
        <w:t>Session 6.1</w:t>
      </w:r>
      <w:r w:rsidRPr="0028060E">
        <w:rPr>
          <w:sz w:val="22"/>
        </w:rPr>
        <w:t xml:space="preserve"> </w:t>
      </w:r>
      <w:r w:rsidR="00C5700F">
        <w:rPr>
          <w:sz w:val="22"/>
        </w:rPr>
        <w:t>Social protection &amp; emergency CVA</w:t>
      </w:r>
    </w:p>
    <w:p w14:paraId="116E1063" w14:textId="11F072A4" w:rsidR="00C5700F" w:rsidRPr="00C5700F" w:rsidRDefault="00710AD2" w:rsidP="00C5700F">
      <w:pPr>
        <w:pStyle w:val="ListParagraph"/>
        <w:numPr>
          <w:ilvl w:val="0"/>
          <w:numId w:val="6"/>
        </w:numPr>
        <w:rPr>
          <w:sz w:val="22"/>
        </w:rPr>
      </w:pPr>
      <w:r>
        <w:rPr>
          <w:sz w:val="22"/>
        </w:rPr>
        <w:t xml:space="preserve">Provide examples of regional </w:t>
      </w:r>
      <w:r w:rsidR="00200F0E">
        <w:rPr>
          <w:sz w:val="22"/>
        </w:rPr>
        <w:t xml:space="preserve">emergency </w:t>
      </w:r>
      <w:r>
        <w:rPr>
          <w:sz w:val="22"/>
        </w:rPr>
        <w:t xml:space="preserve">CVA and social protection programmes </w:t>
      </w:r>
      <w:r w:rsidR="00200F0E">
        <w:rPr>
          <w:sz w:val="22"/>
        </w:rPr>
        <w:t>(max 100 words)</w:t>
      </w:r>
    </w:p>
    <w:p w14:paraId="659F6EB3" w14:textId="1190E431" w:rsidR="004C0826" w:rsidRDefault="004C0826" w:rsidP="004C0826">
      <w:pPr>
        <w:spacing w:before="60" w:after="60"/>
        <w:rPr>
          <w:sz w:val="22"/>
        </w:rPr>
      </w:pPr>
      <w:r>
        <w:rPr>
          <w:b/>
          <w:color w:val="C50000"/>
          <w:sz w:val="22"/>
        </w:rPr>
        <w:t xml:space="preserve">Session 6.2 </w:t>
      </w:r>
      <w:r w:rsidRPr="00D179B5">
        <w:rPr>
          <w:sz w:val="22"/>
        </w:rPr>
        <w:t>Preparedness</w:t>
      </w:r>
    </w:p>
    <w:p w14:paraId="7E8EE14C" w14:textId="66CD7B25" w:rsidR="0048348E" w:rsidRPr="0048348E" w:rsidRDefault="0048348E" w:rsidP="004C0826">
      <w:pPr>
        <w:pStyle w:val="ListParagraph"/>
        <w:numPr>
          <w:ilvl w:val="0"/>
          <w:numId w:val="6"/>
        </w:numPr>
        <w:rPr>
          <w:sz w:val="22"/>
        </w:rPr>
      </w:pPr>
      <w:r>
        <w:rPr>
          <w:i/>
          <w:sz w:val="22"/>
        </w:rPr>
        <w:t xml:space="preserve">Provide examples of any recent high quality preparedness assessments (focusing in particular inter-agency reports if available) </w:t>
      </w:r>
      <w:r w:rsidRPr="005C4C5D">
        <w:rPr>
          <w:i/>
          <w:sz w:val="22"/>
          <w:szCs w:val="22"/>
          <w:lang w:val="en-GB"/>
        </w:rPr>
        <w:t>(</w:t>
      </w:r>
      <w:r>
        <w:rPr>
          <w:i/>
          <w:sz w:val="22"/>
          <w:szCs w:val="22"/>
          <w:lang w:val="en-GB"/>
        </w:rPr>
        <w:t>max 100 words</w:t>
      </w:r>
      <w:r w:rsidRPr="005C4C5D">
        <w:rPr>
          <w:i/>
          <w:sz w:val="22"/>
          <w:szCs w:val="22"/>
          <w:lang w:val="en-GB"/>
        </w:rPr>
        <w:t>)</w:t>
      </w:r>
    </w:p>
    <w:p w14:paraId="2F24FB9B" w14:textId="15F402AA" w:rsidR="0048231E" w:rsidRDefault="004C0826" w:rsidP="0048231E">
      <w:pPr>
        <w:rPr>
          <w:sz w:val="22"/>
        </w:rPr>
      </w:pPr>
      <w:r>
        <w:rPr>
          <w:b/>
          <w:color w:val="C50000"/>
          <w:sz w:val="22"/>
        </w:rPr>
        <w:t>Session 6.3</w:t>
      </w:r>
      <w:r w:rsidRPr="0028060E">
        <w:rPr>
          <w:sz w:val="22"/>
        </w:rPr>
        <w:t xml:space="preserve"> </w:t>
      </w:r>
      <w:r w:rsidR="00C5700F">
        <w:rPr>
          <w:sz w:val="22"/>
        </w:rPr>
        <w:t>CVA coordination</w:t>
      </w:r>
    </w:p>
    <w:p w14:paraId="03AE50CA" w14:textId="281D37F9" w:rsidR="00710AD2" w:rsidRPr="00710AD2" w:rsidRDefault="00710AD2" w:rsidP="0048348E">
      <w:pPr>
        <w:pStyle w:val="ListParagraph"/>
        <w:numPr>
          <w:ilvl w:val="0"/>
          <w:numId w:val="6"/>
        </w:numPr>
        <w:rPr>
          <w:sz w:val="22"/>
        </w:rPr>
      </w:pPr>
      <w:r w:rsidRPr="00710AD2">
        <w:rPr>
          <w:sz w:val="22"/>
        </w:rPr>
        <w:t>Provide links to any regionally-specific case studies on cash coordination, and links to all relevant CWG pages (max 100 words)</w:t>
      </w:r>
    </w:p>
    <w:p w14:paraId="2F5C7CE6" w14:textId="7187238A" w:rsidR="00710AD2" w:rsidRPr="00710AD2" w:rsidRDefault="00710AD2" w:rsidP="00710AD2">
      <w:pPr>
        <w:rPr>
          <w:sz w:val="22"/>
        </w:rPr>
      </w:pPr>
      <w:r w:rsidRPr="00710AD2">
        <w:rPr>
          <w:b/>
          <w:color w:val="C50000"/>
          <w:sz w:val="22"/>
        </w:rPr>
        <w:t>Session 6.</w:t>
      </w:r>
      <w:r>
        <w:rPr>
          <w:b/>
          <w:color w:val="C50000"/>
          <w:sz w:val="22"/>
        </w:rPr>
        <w:t>4</w:t>
      </w:r>
      <w:r w:rsidRPr="00710AD2">
        <w:rPr>
          <w:sz w:val="22"/>
        </w:rPr>
        <w:t xml:space="preserve"> </w:t>
      </w:r>
      <w:r>
        <w:rPr>
          <w:sz w:val="22"/>
        </w:rPr>
        <w:t>Course summary and wrap up</w:t>
      </w:r>
    </w:p>
    <w:p w14:paraId="5CA97729" w14:textId="3BA1B2D8" w:rsidR="0048348E" w:rsidRPr="0048348E" w:rsidRDefault="0048348E" w:rsidP="0048348E">
      <w:pPr>
        <w:pStyle w:val="ListParagraph"/>
        <w:rPr>
          <w:rFonts w:ascii="Gill Sans MT" w:eastAsia="Calibri" w:hAnsi="Gill Sans MT" w:cs="Arial"/>
          <w:iCs/>
          <w:color w:val="C91619"/>
          <w:sz w:val="26"/>
          <w:szCs w:val="26"/>
          <w:lang w:val="en-GB"/>
        </w:rPr>
      </w:pPr>
    </w:p>
    <w:p w14:paraId="1D6AA378" w14:textId="77777777" w:rsidR="0048231E" w:rsidRPr="0048231E" w:rsidRDefault="0048231E" w:rsidP="0048231E">
      <w:pPr>
        <w:rPr>
          <w:lang w:val="en-GB"/>
        </w:rPr>
      </w:pPr>
    </w:p>
    <w:p w14:paraId="32C0D2AA" w14:textId="2A5E99A1" w:rsidR="000E16AA" w:rsidRDefault="000E16AA">
      <w:pPr>
        <w:rPr>
          <w:b/>
          <w:sz w:val="22"/>
          <w:szCs w:val="22"/>
          <w:lang w:val="en-GB"/>
        </w:rPr>
      </w:pPr>
    </w:p>
    <w:p w14:paraId="0A386F1D" w14:textId="3F225416" w:rsidR="000E16AA" w:rsidRDefault="000E16AA" w:rsidP="000E16AA">
      <w:pPr>
        <w:rPr>
          <w:sz w:val="22"/>
          <w:szCs w:val="22"/>
          <w:lang w:val="en-GB"/>
        </w:rPr>
      </w:pPr>
    </w:p>
    <w:p w14:paraId="2300A32A" w14:textId="6A804D8F" w:rsidR="00C404AA" w:rsidRDefault="00C404AA" w:rsidP="000E16AA">
      <w:pPr>
        <w:rPr>
          <w:sz w:val="22"/>
          <w:szCs w:val="22"/>
          <w:lang w:val="en-GB"/>
        </w:rPr>
      </w:pPr>
    </w:p>
    <w:p w14:paraId="572C55D8" w14:textId="5AE612B6" w:rsidR="00C404AA" w:rsidRDefault="00C404AA" w:rsidP="000E16AA">
      <w:pPr>
        <w:rPr>
          <w:sz w:val="22"/>
          <w:szCs w:val="22"/>
          <w:lang w:val="en-GB"/>
        </w:rPr>
      </w:pPr>
    </w:p>
    <w:p w14:paraId="4768C8C0" w14:textId="19EA5887" w:rsidR="00C404AA" w:rsidRDefault="00C404AA" w:rsidP="000E16AA">
      <w:pPr>
        <w:rPr>
          <w:sz w:val="22"/>
          <w:szCs w:val="22"/>
          <w:lang w:val="en-GB"/>
        </w:rPr>
      </w:pPr>
    </w:p>
    <w:p w14:paraId="4E52E04D" w14:textId="5C73B8B9" w:rsidR="00C404AA" w:rsidRDefault="00C404AA" w:rsidP="000E16AA">
      <w:pPr>
        <w:rPr>
          <w:sz w:val="22"/>
          <w:szCs w:val="22"/>
          <w:lang w:val="en-GB"/>
        </w:rPr>
      </w:pPr>
    </w:p>
    <w:p w14:paraId="5E82675F" w14:textId="4BC4A35E" w:rsidR="00C404AA" w:rsidRDefault="00C404AA" w:rsidP="000E16AA">
      <w:pPr>
        <w:rPr>
          <w:sz w:val="22"/>
          <w:szCs w:val="22"/>
          <w:lang w:val="en-GB"/>
        </w:rPr>
      </w:pPr>
    </w:p>
    <w:p w14:paraId="51BC30A7" w14:textId="3BA358E6" w:rsidR="00C404AA" w:rsidRDefault="00C404AA" w:rsidP="000E16AA">
      <w:pPr>
        <w:rPr>
          <w:sz w:val="22"/>
          <w:szCs w:val="22"/>
          <w:lang w:val="en-GB"/>
        </w:rPr>
      </w:pPr>
    </w:p>
    <w:p w14:paraId="04964E6B" w14:textId="154B10B4" w:rsidR="00C404AA" w:rsidRDefault="00C404AA" w:rsidP="000E16AA">
      <w:pPr>
        <w:rPr>
          <w:sz w:val="22"/>
          <w:szCs w:val="22"/>
          <w:lang w:val="en-GB"/>
        </w:rPr>
      </w:pPr>
    </w:p>
    <w:p w14:paraId="7BCC74D9" w14:textId="6DAB9028" w:rsidR="00C404AA" w:rsidRDefault="00C404AA" w:rsidP="000E16AA">
      <w:pPr>
        <w:rPr>
          <w:sz w:val="22"/>
          <w:szCs w:val="22"/>
          <w:lang w:val="en-GB"/>
        </w:rPr>
      </w:pPr>
    </w:p>
    <w:p w14:paraId="69C63AF3" w14:textId="74D0762F" w:rsidR="00C404AA" w:rsidRDefault="00C404AA" w:rsidP="000E16AA">
      <w:pPr>
        <w:rPr>
          <w:sz w:val="22"/>
          <w:szCs w:val="22"/>
          <w:lang w:val="en-GB"/>
        </w:rPr>
      </w:pPr>
    </w:p>
    <w:p w14:paraId="7C52D737" w14:textId="111759C9" w:rsidR="00C404AA" w:rsidRDefault="00C404AA" w:rsidP="000E16AA">
      <w:pPr>
        <w:rPr>
          <w:sz w:val="22"/>
          <w:szCs w:val="22"/>
          <w:lang w:val="en-GB"/>
        </w:rPr>
      </w:pPr>
    </w:p>
    <w:p w14:paraId="47DC30C9" w14:textId="654874C5" w:rsidR="00C404AA" w:rsidRDefault="00C404AA" w:rsidP="000E16AA">
      <w:pPr>
        <w:rPr>
          <w:sz w:val="22"/>
          <w:szCs w:val="22"/>
          <w:lang w:val="en-GB"/>
        </w:rPr>
      </w:pPr>
    </w:p>
    <w:p w14:paraId="27B49D08" w14:textId="56F91239" w:rsidR="00C404AA" w:rsidRDefault="00C404AA" w:rsidP="000E16AA">
      <w:pPr>
        <w:rPr>
          <w:sz w:val="22"/>
          <w:szCs w:val="22"/>
          <w:lang w:val="en-GB"/>
        </w:rPr>
      </w:pPr>
    </w:p>
    <w:p w14:paraId="2C3CF823" w14:textId="3A0831FA" w:rsidR="00C404AA" w:rsidRDefault="00C404AA" w:rsidP="000E16AA">
      <w:pPr>
        <w:rPr>
          <w:sz w:val="22"/>
          <w:szCs w:val="22"/>
          <w:lang w:val="en-GB"/>
        </w:rPr>
      </w:pPr>
    </w:p>
    <w:p w14:paraId="677226CC" w14:textId="21475E4A" w:rsidR="00C404AA" w:rsidRDefault="00C404AA" w:rsidP="000E16AA">
      <w:pPr>
        <w:rPr>
          <w:sz w:val="22"/>
          <w:szCs w:val="22"/>
          <w:lang w:val="en-GB"/>
        </w:rPr>
      </w:pPr>
    </w:p>
    <w:p w14:paraId="5DEA0197" w14:textId="54E0C228" w:rsidR="00C404AA" w:rsidRDefault="00C404AA" w:rsidP="000E16AA">
      <w:pPr>
        <w:rPr>
          <w:sz w:val="22"/>
          <w:szCs w:val="22"/>
          <w:lang w:val="en-GB"/>
        </w:rPr>
        <w:sectPr w:rsidR="00C404AA" w:rsidSect="004C0826">
          <w:headerReference w:type="default" r:id="rId17"/>
          <w:footerReference w:type="default" r:id="rId18"/>
          <w:type w:val="continuous"/>
          <w:pgSz w:w="11900" w:h="16840"/>
          <w:pgMar w:top="720" w:right="720" w:bottom="720" w:left="720" w:header="708" w:footer="708" w:gutter="0"/>
          <w:cols w:space="708"/>
          <w:docGrid w:linePitch="360"/>
        </w:sectPr>
      </w:pPr>
    </w:p>
    <w:p w14:paraId="6C188C2C" w14:textId="5F72FBEE" w:rsidR="00C404AA" w:rsidRPr="000E16AA" w:rsidRDefault="00C404AA" w:rsidP="000E16AA">
      <w:pPr>
        <w:rPr>
          <w:sz w:val="22"/>
          <w:szCs w:val="22"/>
          <w:lang w:val="en-GB"/>
        </w:rPr>
      </w:pPr>
    </w:p>
    <w:sectPr w:rsidR="00C404AA" w:rsidRPr="000E16AA" w:rsidSect="004C0826">
      <w:type w:val="continuous"/>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Pittman" w:date="2018-07-23T13:50:00Z" w:initials="MP">
    <w:p w14:paraId="61C81C88" w14:textId="77777777" w:rsidR="002D14F7" w:rsidRDefault="002D14F7">
      <w:pPr>
        <w:pStyle w:val="CommentText"/>
      </w:pPr>
      <w:r>
        <w:rPr>
          <w:rStyle w:val="CommentReference"/>
        </w:rPr>
        <w:annotationRef/>
      </w:r>
      <w:r>
        <w:t>To complement this, for developing the crib sheets:</w:t>
      </w:r>
    </w:p>
    <w:p w14:paraId="2893CC41" w14:textId="77777777" w:rsidR="002D14F7" w:rsidRDefault="002D14F7">
      <w:pPr>
        <w:pStyle w:val="CommentText"/>
      </w:pPr>
      <w:r>
        <w:t>--as much as possible content within the crib should be specific, directing the facilitator to particular examples from the region (even while acknowledging that there can be larger variations within regions)</w:t>
      </w:r>
    </w:p>
    <w:p w14:paraId="3B37788A" w14:textId="77777777" w:rsidR="002D14F7" w:rsidRDefault="002D14F7">
      <w:pPr>
        <w:pStyle w:val="CommentText"/>
      </w:pPr>
      <w:r>
        <w:t>--put the information in concise, bullet-formatted lists when possible</w:t>
      </w:r>
    </w:p>
    <w:p w14:paraId="62EDFA41" w14:textId="68D5F586" w:rsidR="00473E0B" w:rsidRDefault="00473E0B">
      <w:pPr>
        <w:pStyle w:val="CommentText"/>
      </w:pPr>
      <w:r>
        <w:t>--if guidance/information can be connected to a particular section of a session (or even a particular slide in the presentation), please refer slide and/or page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DF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5BFB" w16cex:dateUtc="2018-07-23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DFA41" w16cid:durableId="26435B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475C" w14:textId="77777777" w:rsidR="0074174B" w:rsidRDefault="0074174B" w:rsidP="00CE77F4">
      <w:pPr>
        <w:spacing w:line="240" w:lineRule="auto"/>
      </w:pPr>
      <w:r>
        <w:separator/>
      </w:r>
    </w:p>
  </w:endnote>
  <w:endnote w:type="continuationSeparator" w:id="0">
    <w:p w14:paraId="7756EAC8" w14:textId="77777777" w:rsidR="0074174B" w:rsidRDefault="0074174B" w:rsidP="00CE77F4">
      <w:pPr>
        <w:spacing w:line="240" w:lineRule="auto"/>
      </w:pPr>
      <w:r>
        <w:continuationSeparator/>
      </w:r>
    </w:p>
  </w:endnote>
  <w:endnote w:type="continuationNotice" w:id="1">
    <w:p w14:paraId="40CF65D4" w14:textId="77777777" w:rsidR="0074174B" w:rsidRDefault="007417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BDE8" w14:textId="5BEA6FA5" w:rsidR="004117BF" w:rsidRPr="004117BF" w:rsidRDefault="004117BF" w:rsidP="004117BF">
    <w:pPr>
      <w:pStyle w:val="Footer"/>
      <w:pBdr>
        <w:top w:val="single" w:sz="8" w:space="1" w:color="C00000"/>
      </w:pBdr>
      <w:tabs>
        <w:tab w:val="left" w:pos="5529"/>
      </w:tabs>
      <w:ind w:right="360"/>
      <w:jc w:val="center"/>
      <w:rPr>
        <w:rFonts w:ascii="Gill Sans MT" w:hAnsi="Gill Sans MT"/>
        <w:color w:val="C00000"/>
        <w:sz w:val="28"/>
        <w:szCs w:val="28"/>
      </w:rPr>
    </w:pPr>
    <w:bookmarkStart w:id="1" w:name="_Hlk507163041"/>
    <w:bookmarkStart w:id="2" w:name="_Hlk507163042"/>
    <w:r w:rsidRPr="00BC09DB">
      <w:rPr>
        <w:rFonts w:ascii="Gill Sans MT" w:hAnsi="Gill Sans MT"/>
        <w:color w:val="C00000"/>
        <w:sz w:val="28"/>
        <w:szCs w:val="28"/>
      </w:rPr>
      <w:t>www.cashlearning.org</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CCC9" w14:textId="77777777" w:rsidR="0074174B" w:rsidRDefault="0074174B" w:rsidP="00CE77F4">
      <w:pPr>
        <w:spacing w:line="240" w:lineRule="auto"/>
      </w:pPr>
      <w:r>
        <w:separator/>
      </w:r>
    </w:p>
  </w:footnote>
  <w:footnote w:type="continuationSeparator" w:id="0">
    <w:p w14:paraId="747E9481" w14:textId="77777777" w:rsidR="0074174B" w:rsidRDefault="0074174B" w:rsidP="00CE77F4">
      <w:pPr>
        <w:spacing w:line="240" w:lineRule="auto"/>
      </w:pPr>
      <w:r>
        <w:continuationSeparator/>
      </w:r>
    </w:p>
  </w:footnote>
  <w:footnote w:type="continuationNotice" w:id="1">
    <w:p w14:paraId="0DE6C882" w14:textId="77777777" w:rsidR="0074174B" w:rsidRDefault="007417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5786" w14:textId="0E09F563" w:rsidR="004117BF" w:rsidRPr="004117BF" w:rsidRDefault="00491A8B" w:rsidP="470A84F4">
    <w:pPr>
      <w:pBdr>
        <w:bottom w:val="single" w:sz="8" w:space="1" w:color="C00000"/>
      </w:pBdr>
      <w:spacing w:line="240" w:lineRule="auto"/>
      <w:jc w:val="right"/>
      <w:rPr>
        <w:rFonts w:ascii="Gill Sans MT" w:hAnsi="Gill Sans MT"/>
        <w:b/>
        <w:bCs/>
        <w:color w:val="C00000"/>
        <w:sz w:val="52"/>
        <w:szCs w:val="52"/>
      </w:rPr>
    </w:pPr>
    <w:r>
      <w:rPr>
        <w:rFonts w:ascii="Gill Sans MT" w:hAnsi="Gill Sans MT"/>
        <w:b/>
        <w:noProof/>
        <w:color w:val="C00000"/>
        <w:sz w:val="48"/>
        <w:szCs w:val="52"/>
      </w:rPr>
      <w:drawing>
        <wp:anchor distT="0" distB="0" distL="114300" distR="114300" simplePos="0" relativeHeight="251658240" behindDoc="0" locked="0" layoutInCell="1" allowOverlap="1" wp14:anchorId="653E9086" wp14:editId="4F44097D">
          <wp:simplePos x="0" y="0"/>
          <wp:positionH relativeFrom="margin">
            <wp:align>left</wp:align>
          </wp:positionH>
          <wp:positionV relativeFrom="paragraph">
            <wp:posOffset>-309880</wp:posOffset>
          </wp:positionV>
          <wp:extent cx="1333500" cy="628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pic:spPr>
              </pic:pic>
            </a:graphicData>
          </a:graphic>
        </wp:anchor>
      </w:drawing>
    </w:r>
    <w:r w:rsidR="470A84F4" w:rsidRPr="470A84F4">
      <w:rPr>
        <w:rFonts w:ascii="Gill Sans MT" w:hAnsi="Gill Sans MT"/>
        <w:b/>
        <w:bCs/>
        <w:color w:val="C00000"/>
        <w:sz w:val="48"/>
        <w:szCs w:val="48"/>
      </w:rPr>
      <w:t xml:space="preserve">  CALP regional crib sheet: X region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20A"/>
    <w:multiLevelType w:val="hybridMultilevel"/>
    <w:tmpl w:val="D46841A0"/>
    <w:lvl w:ilvl="0" w:tplc="2CAC07EC">
      <w:start w:val="1"/>
      <w:numFmt w:val="bullet"/>
      <w:lvlText w:val="•"/>
      <w:lvlJc w:val="left"/>
      <w:pPr>
        <w:tabs>
          <w:tab w:val="num" w:pos="720"/>
        </w:tabs>
        <w:ind w:left="720" w:hanging="360"/>
      </w:pPr>
      <w:rPr>
        <w:rFonts w:ascii="Arial" w:hAnsi="Arial" w:hint="default"/>
      </w:rPr>
    </w:lvl>
    <w:lvl w:ilvl="1" w:tplc="647EC566" w:tentative="1">
      <w:start w:val="1"/>
      <w:numFmt w:val="bullet"/>
      <w:lvlText w:val="•"/>
      <w:lvlJc w:val="left"/>
      <w:pPr>
        <w:tabs>
          <w:tab w:val="num" w:pos="1440"/>
        </w:tabs>
        <w:ind w:left="1440" w:hanging="360"/>
      </w:pPr>
      <w:rPr>
        <w:rFonts w:ascii="Arial" w:hAnsi="Arial" w:hint="default"/>
      </w:rPr>
    </w:lvl>
    <w:lvl w:ilvl="2" w:tplc="8334D8C4" w:tentative="1">
      <w:start w:val="1"/>
      <w:numFmt w:val="bullet"/>
      <w:lvlText w:val="•"/>
      <w:lvlJc w:val="left"/>
      <w:pPr>
        <w:tabs>
          <w:tab w:val="num" w:pos="2160"/>
        </w:tabs>
        <w:ind w:left="2160" w:hanging="360"/>
      </w:pPr>
      <w:rPr>
        <w:rFonts w:ascii="Arial" w:hAnsi="Arial" w:hint="default"/>
      </w:rPr>
    </w:lvl>
    <w:lvl w:ilvl="3" w:tplc="955EBFB4" w:tentative="1">
      <w:start w:val="1"/>
      <w:numFmt w:val="bullet"/>
      <w:lvlText w:val="•"/>
      <w:lvlJc w:val="left"/>
      <w:pPr>
        <w:tabs>
          <w:tab w:val="num" w:pos="2880"/>
        </w:tabs>
        <w:ind w:left="2880" w:hanging="360"/>
      </w:pPr>
      <w:rPr>
        <w:rFonts w:ascii="Arial" w:hAnsi="Arial" w:hint="default"/>
      </w:rPr>
    </w:lvl>
    <w:lvl w:ilvl="4" w:tplc="EE6EB90E" w:tentative="1">
      <w:start w:val="1"/>
      <w:numFmt w:val="bullet"/>
      <w:lvlText w:val="•"/>
      <w:lvlJc w:val="left"/>
      <w:pPr>
        <w:tabs>
          <w:tab w:val="num" w:pos="3600"/>
        </w:tabs>
        <w:ind w:left="3600" w:hanging="360"/>
      </w:pPr>
      <w:rPr>
        <w:rFonts w:ascii="Arial" w:hAnsi="Arial" w:hint="default"/>
      </w:rPr>
    </w:lvl>
    <w:lvl w:ilvl="5" w:tplc="CE147AE4" w:tentative="1">
      <w:start w:val="1"/>
      <w:numFmt w:val="bullet"/>
      <w:lvlText w:val="•"/>
      <w:lvlJc w:val="left"/>
      <w:pPr>
        <w:tabs>
          <w:tab w:val="num" w:pos="4320"/>
        </w:tabs>
        <w:ind w:left="4320" w:hanging="360"/>
      </w:pPr>
      <w:rPr>
        <w:rFonts w:ascii="Arial" w:hAnsi="Arial" w:hint="default"/>
      </w:rPr>
    </w:lvl>
    <w:lvl w:ilvl="6" w:tplc="1D9686B8" w:tentative="1">
      <w:start w:val="1"/>
      <w:numFmt w:val="bullet"/>
      <w:lvlText w:val="•"/>
      <w:lvlJc w:val="left"/>
      <w:pPr>
        <w:tabs>
          <w:tab w:val="num" w:pos="5040"/>
        </w:tabs>
        <w:ind w:left="5040" w:hanging="360"/>
      </w:pPr>
      <w:rPr>
        <w:rFonts w:ascii="Arial" w:hAnsi="Arial" w:hint="default"/>
      </w:rPr>
    </w:lvl>
    <w:lvl w:ilvl="7" w:tplc="CA8CD2BC" w:tentative="1">
      <w:start w:val="1"/>
      <w:numFmt w:val="bullet"/>
      <w:lvlText w:val="•"/>
      <w:lvlJc w:val="left"/>
      <w:pPr>
        <w:tabs>
          <w:tab w:val="num" w:pos="5760"/>
        </w:tabs>
        <w:ind w:left="5760" w:hanging="360"/>
      </w:pPr>
      <w:rPr>
        <w:rFonts w:ascii="Arial" w:hAnsi="Arial" w:hint="default"/>
      </w:rPr>
    </w:lvl>
    <w:lvl w:ilvl="8" w:tplc="237CA9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D4480"/>
    <w:multiLevelType w:val="hybridMultilevel"/>
    <w:tmpl w:val="CD68B314"/>
    <w:lvl w:ilvl="0" w:tplc="10EA1F6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E0C82"/>
    <w:multiLevelType w:val="hybridMultilevel"/>
    <w:tmpl w:val="00A64C46"/>
    <w:lvl w:ilvl="0" w:tplc="6A246BEE">
      <w:start w:val="1"/>
      <w:numFmt w:val="bullet"/>
      <w:lvlText w:val="•"/>
      <w:lvlJc w:val="left"/>
      <w:pPr>
        <w:tabs>
          <w:tab w:val="num" w:pos="720"/>
        </w:tabs>
        <w:ind w:left="720" w:hanging="360"/>
      </w:pPr>
      <w:rPr>
        <w:rFonts w:ascii="Arial" w:hAnsi="Arial" w:hint="default"/>
      </w:rPr>
    </w:lvl>
    <w:lvl w:ilvl="1" w:tplc="E8686CF6" w:tentative="1">
      <w:start w:val="1"/>
      <w:numFmt w:val="bullet"/>
      <w:lvlText w:val="•"/>
      <w:lvlJc w:val="left"/>
      <w:pPr>
        <w:tabs>
          <w:tab w:val="num" w:pos="1440"/>
        </w:tabs>
        <w:ind w:left="1440" w:hanging="360"/>
      </w:pPr>
      <w:rPr>
        <w:rFonts w:ascii="Arial" w:hAnsi="Arial" w:hint="default"/>
      </w:rPr>
    </w:lvl>
    <w:lvl w:ilvl="2" w:tplc="ADDC4F38" w:tentative="1">
      <w:start w:val="1"/>
      <w:numFmt w:val="bullet"/>
      <w:lvlText w:val="•"/>
      <w:lvlJc w:val="left"/>
      <w:pPr>
        <w:tabs>
          <w:tab w:val="num" w:pos="2160"/>
        </w:tabs>
        <w:ind w:left="2160" w:hanging="360"/>
      </w:pPr>
      <w:rPr>
        <w:rFonts w:ascii="Arial" w:hAnsi="Arial" w:hint="default"/>
      </w:rPr>
    </w:lvl>
    <w:lvl w:ilvl="3" w:tplc="AE5C796A" w:tentative="1">
      <w:start w:val="1"/>
      <w:numFmt w:val="bullet"/>
      <w:lvlText w:val="•"/>
      <w:lvlJc w:val="left"/>
      <w:pPr>
        <w:tabs>
          <w:tab w:val="num" w:pos="2880"/>
        </w:tabs>
        <w:ind w:left="2880" w:hanging="360"/>
      </w:pPr>
      <w:rPr>
        <w:rFonts w:ascii="Arial" w:hAnsi="Arial" w:hint="default"/>
      </w:rPr>
    </w:lvl>
    <w:lvl w:ilvl="4" w:tplc="3CB09DD6" w:tentative="1">
      <w:start w:val="1"/>
      <w:numFmt w:val="bullet"/>
      <w:lvlText w:val="•"/>
      <w:lvlJc w:val="left"/>
      <w:pPr>
        <w:tabs>
          <w:tab w:val="num" w:pos="3600"/>
        </w:tabs>
        <w:ind w:left="3600" w:hanging="360"/>
      </w:pPr>
      <w:rPr>
        <w:rFonts w:ascii="Arial" w:hAnsi="Arial" w:hint="default"/>
      </w:rPr>
    </w:lvl>
    <w:lvl w:ilvl="5" w:tplc="843C5322" w:tentative="1">
      <w:start w:val="1"/>
      <w:numFmt w:val="bullet"/>
      <w:lvlText w:val="•"/>
      <w:lvlJc w:val="left"/>
      <w:pPr>
        <w:tabs>
          <w:tab w:val="num" w:pos="4320"/>
        </w:tabs>
        <w:ind w:left="4320" w:hanging="360"/>
      </w:pPr>
      <w:rPr>
        <w:rFonts w:ascii="Arial" w:hAnsi="Arial" w:hint="default"/>
      </w:rPr>
    </w:lvl>
    <w:lvl w:ilvl="6" w:tplc="C578FE82" w:tentative="1">
      <w:start w:val="1"/>
      <w:numFmt w:val="bullet"/>
      <w:lvlText w:val="•"/>
      <w:lvlJc w:val="left"/>
      <w:pPr>
        <w:tabs>
          <w:tab w:val="num" w:pos="5040"/>
        </w:tabs>
        <w:ind w:left="5040" w:hanging="360"/>
      </w:pPr>
      <w:rPr>
        <w:rFonts w:ascii="Arial" w:hAnsi="Arial" w:hint="default"/>
      </w:rPr>
    </w:lvl>
    <w:lvl w:ilvl="7" w:tplc="60AE47D4" w:tentative="1">
      <w:start w:val="1"/>
      <w:numFmt w:val="bullet"/>
      <w:lvlText w:val="•"/>
      <w:lvlJc w:val="left"/>
      <w:pPr>
        <w:tabs>
          <w:tab w:val="num" w:pos="5760"/>
        </w:tabs>
        <w:ind w:left="5760" w:hanging="360"/>
      </w:pPr>
      <w:rPr>
        <w:rFonts w:ascii="Arial" w:hAnsi="Arial" w:hint="default"/>
      </w:rPr>
    </w:lvl>
    <w:lvl w:ilvl="8" w:tplc="E340A1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054CB7"/>
    <w:multiLevelType w:val="hybridMultilevel"/>
    <w:tmpl w:val="77D22C88"/>
    <w:lvl w:ilvl="0" w:tplc="B96265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A1497B"/>
    <w:multiLevelType w:val="hybridMultilevel"/>
    <w:tmpl w:val="4BB82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1335B3"/>
    <w:multiLevelType w:val="hybridMultilevel"/>
    <w:tmpl w:val="A536B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6210620">
    <w:abstractNumId w:val="5"/>
  </w:num>
  <w:num w:numId="2" w16cid:durableId="660163293">
    <w:abstractNumId w:val="3"/>
  </w:num>
  <w:num w:numId="3" w16cid:durableId="946154318">
    <w:abstractNumId w:val="4"/>
  </w:num>
  <w:num w:numId="4" w16cid:durableId="257451899">
    <w:abstractNumId w:val="0"/>
  </w:num>
  <w:num w:numId="5" w16cid:durableId="361711759">
    <w:abstractNumId w:val="2"/>
  </w:num>
  <w:num w:numId="6" w16cid:durableId="15938550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Pittman">
    <w15:presenceInfo w15:providerId="None" w15:userId="Martin Pit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84"/>
    <w:rsid w:val="000173CE"/>
    <w:rsid w:val="000258DE"/>
    <w:rsid w:val="00053B87"/>
    <w:rsid w:val="000655FE"/>
    <w:rsid w:val="000A2A1E"/>
    <w:rsid w:val="000C603E"/>
    <w:rsid w:val="000D786B"/>
    <w:rsid w:val="000E007C"/>
    <w:rsid w:val="000E079D"/>
    <w:rsid w:val="000E16AA"/>
    <w:rsid w:val="0014084A"/>
    <w:rsid w:val="00161B4B"/>
    <w:rsid w:val="001A279B"/>
    <w:rsid w:val="001B1A06"/>
    <w:rsid w:val="001C0E72"/>
    <w:rsid w:val="001C4C79"/>
    <w:rsid w:val="001D0A86"/>
    <w:rsid w:val="00200F0E"/>
    <w:rsid w:val="00201BA3"/>
    <w:rsid w:val="00202093"/>
    <w:rsid w:val="00202CB5"/>
    <w:rsid w:val="00216ECF"/>
    <w:rsid w:val="00216F7C"/>
    <w:rsid w:val="00232D41"/>
    <w:rsid w:val="00251482"/>
    <w:rsid w:val="0028060E"/>
    <w:rsid w:val="002B0B4F"/>
    <w:rsid w:val="002C0533"/>
    <w:rsid w:val="002C4921"/>
    <w:rsid w:val="002D14F7"/>
    <w:rsid w:val="002D7ABA"/>
    <w:rsid w:val="002F2F31"/>
    <w:rsid w:val="00317924"/>
    <w:rsid w:val="003333A6"/>
    <w:rsid w:val="003646DB"/>
    <w:rsid w:val="00384DED"/>
    <w:rsid w:val="0038709A"/>
    <w:rsid w:val="00397AA1"/>
    <w:rsid w:val="003B0074"/>
    <w:rsid w:val="003C33CA"/>
    <w:rsid w:val="003C42EF"/>
    <w:rsid w:val="003D12B7"/>
    <w:rsid w:val="003E3AB7"/>
    <w:rsid w:val="003F089C"/>
    <w:rsid w:val="00404A4A"/>
    <w:rsid w:val="004053AB"/>
    <w:rsid w:val="004117BF"/>
    <w:rsid w:val="0041538C"/>
    <w:rsid w:val="004223EB"/>
    <w:rsid w:val="00432C09"/>
    <w:rsid w:val="00441FD7"/>
    <w:rsid w:val="00443D4F"/>
    <w:rsid w:val="00473E0B"/>
    <w:rsid w:val="00474846"/>
    <w:rsid w:val="0048231E"/>
    <w:rsid w:val="0048348E"/>
    <w:rsid w:val="00491A8B"/>
    <w:rsid w:val="004A34C8"/>
    <w:rsid w:val="004B37A8"/>
    <w:rsid w:val="004C0826"/>
    <w:rsid w:val="004C4C2E"/>
    <w:rsid w:val="004D20D9"/>
    <w:rsid w:val="004F3656"/>
    <w:rsid w:val="004F79D0"/>
    <w:rsid w:val="00505036"/>
    <w:rsid w:val="0055227A"/>
    <w:rsid w:val="0055691E"/>
    <w:rsid w:val="00556CB8"/>
    <w:rsid w:val="00577AFD"/>
    <w:rsid w:val="0059712A"/>
    <w:rsid w:val="005B0884"/>
    <w:rsid w:val="005B2A07"/>
    <w:rsid w:val="005C4C5D"/>
    <w:rsid w:val="005C5E9C"/>
    <w:rsid w:val="00602ECA"/>
    <w:rsid w:val="00615A70"/>
    <w:rsid w:val="0063086F"/>
    <w:rsid w:val="006378B7"/>
    <w:rsid w:val="00647C6A"/>
    <w:rsid w:val="00684AE1"/>
    <w:rsid w:val="00691DB0"/>
    <w:rsid w:val="006A06AF"/>
    <w:rsid w:val="006C5EB6"/>
    <w:rsid w:val="006D379B"/>
    <w:rsid w:val="006D64D0"/>
    <w:rsid w:val="006E4EF2"/>
    <w:rsid w:val="006E6AAE"/>
    <w:rsid w:val="00703125"/>
    <w:rsid w:val="00704942"/>
    <w:rsid w:val="00710AD2"/>
    <w:rsid w:val="00731672"/>
    <w:rsid w:val="0074174B"/>
    <w:rsid w:val="00744C11"/>
    <w:rsid w:val="0076403B"/>
    <w:rsid w:val="00782528"/>
    <w:rsid w:val="00782FFD"/>
    <w:rsid w:val="00783CD2"/>
    <w:rsid w:val="0079324A"/>
    <w:rsid w:val="00797131"/>
    <w:rsid w:val="007B5E0C"/>
    <w:rsid w:val="007C4DEF"/>
    <w:rsid w:val="007C6A72"/>
    <w:rsid w:val="007E39FF"/>
    <w:rsid w:val="007E72F8"/>
    <w:rsid w:val="008021F5"/>
    <w:rsid w:val="0081287C"/>
    <w:rsid w:val="00831573"/>
    <w:rsid w:val="00865018"/>
    <w:rsid w:val="008674E2"/>
    <w:rsid w:val="0087439A"/>
    <w:rsid w:val="00877244"/>
    <w:rsid w:val="00885ACD"/>
    <w:rsid w:val="008A6F24"/>
    <w:rsid w:val="008A759F"/>
    <w:rsid w:val="008B395A"/>
    <w:rsid w:val="008D2A01"/>
    <w:rsid w:val="00900493"/>
    <w:rsid w:val="0091303E"/>
    <w:rsid w:val="009167BA"/>
    <w:rsid w:val="00965114"/>
    <w:rsid w:val="009904BD"/>
    <w:rsid w:val="009A2AEF"/>
    <w:rsid w:val="009C1C49"/>
    <w:rsid w:val="009D3C36"/>
    <w:rsid w:val="009D7F41"/>
    <w:rsid w:val="00A0328D"/>
    <w:rsid w:val="00A1288F"/>
    <w:rsid w:val="00A16434"/>
    <w:rsid w:val="00A428D4"/>
    <w:rsid w:val="00A44A85"/>
    <w:rsid w:val="00A6795F"/>
    <w:rsid w:val="00AA2D32"/>
    <w:rsid w:val="00AC0730"/>
    <w:rsid w:val="00AC7E1B"/>
    <w:rsid w:val="00AD073A"/>
    <w:rsid w:val="00AE3FE9"/>
    <w:rsid w:val="00AE4279"/>
    <w:rsid w:val="00AE776A"/>
    <w:rsid w:val="00AF0AE6"/>
    <w:rsid w:val="00AF44A6"/>
    <w:rsid w:val="00B07FB3"/>
    <w:rsid w:val="00B2240D"/>
    <w:rsid w:val="00B42A02"/>
    <w:rsid w:val="00B4508B"/>
    <w:rsid w:val="00B46309"/>
    <w:rsid w:val="00B631B5"/>
    <w:rsid w:val="00B70057"/>
    <w:rsid w:val="00B83761"/>
    <w:rsid w:val="00B8469D"/>
    <w:rsid w:val="00B84755"/>
    <w:rsid w:val="00B92DB3"/>
    <w:rsid w:val="00BA29F7"/>
    <w:rsid w:val="00BA5C86"/>
    <w:rsid w:val="00BC39E0"/>
    <w:rsid w:val="00BC47BD"/>
    <w:rsid w:val="00BE1AF8"/>
    <w:rsid w:val="00BE5BDA"/>
    <w:rsid w:val="00BF66C3"/>
    <w:rsid w:val="00C0177A"/>
    <w:rsid w:val="00C1754E"/>
    <w:rsid w:val="00C2429C"/>
    <w:rsid w:val="00C2642A"/>
    <w:rsid w:val="00C31AD0"/>
    <w:rsid w:val="00C3418A"/>
    <w:rsid w:val="00C404AA"/>
    <w:rsid w:val="00C4585C"/>
    <w:rsid w:val="00C5700F"/>
    <w:rsid w:val="00C850D2"/>
    <w:rsid w:val="00C8617E"/>
    <w:rsid w:val="00CA0C66"/>
    <w:rsid w:val="00CA2409"/>
    <w:rsid w:val="00CA3665"/>
    <w:rsid w:val="00CB1EA0"/>
    <w:rsid w:val="00CB4197"/>
    <w:rsid w:val="00CD1886"/>
    <w:rsid w:val="00CE0792"/>
    <w:rsid w:val="00CE329B"/>
    <w:rsid w:val="00CE77F4"/>
    <w:rsid w:val="00CF36C0"/>
    <w:rsid w:val="00CF3989"/>
    <w:rsid w:val="00D07603"/>
    <w:rsid w:val="00D11458"/>
    <w:rsid w:val="00D179B5"/>
    <w:rsid w:val="00D24926"/>
    <w:rsid w:val="00D26430"/>
    <w:rsid w:val="00D26D2A"/>
    <w:rsid w:val="00D320CB"/>
    <w:rsid w:val="00D5531B"/>
    <w:rsid w:val="00D61457"/>
    <w:rsid w:val="00D71BB8"/>
    <w:rsid w:val="00D777A6"/>
    <w:rsid w:val="00D86186"/>
    <w:rsid w:val="00DB4B07"/>
    <w:rsid w:val="00DC3C53"/>
    <w:rsid w:val="00DE05E2"/>
    <w:rsid w:val="00DE1D0B"/>
    <w:rsid w:val="00DE31A1"/>
    <w:rsid w:val="00DE625B"/>
    <w:rsid w:val="00DF41F7"/>
    <w:rsid w:val="00DF6CFF"/>
    <w:rsid w:val="00E017FF"/>
    <w:rsid w:val="00E127AC"/>
    <w:rsid w:val="00E31C6E"/>
    <w:rsid w:val="00E41073"/>
    <w:rsid w:val="00E554EA"/>
    <w:rsid w:val="00EA2D7D"/>
    <w:rsid w:val="00EB1963"/>
    <w:rsid w:val="00ED0E69"/>
    <w:rsid w:val="00ED4DC2"/>
    <w:rsid w:val="00EF0D54"/>
    <w:rsid w:val="00EF56F7"/>
    <w:rsid w:val="00F16451"/>
    <w:rsid w:val="00F344F2"/>
    <w:rsid w:val="00F52FD1"/>
    <w:rsid w:val="00F53E07"/>
    <w:rsid w:val="00F552EA"/>
    <w:rsid w:val="00F57C73"/>
    <w:rsid w:val="00F865BA"/>
    <w:rsid w:val="00FA06EE"/>
    <w:rsid w:val="00FF2892"/>
    <w:rsid w:val="00FF4CAF"/>
    <w:rsid w:val="34D2628C"/>
    <w:rsid w:val="470A84F4"/>
    <w:rsid w:val="47205352"/>
    <w:rsid w:val="6A64E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924E0"/>
  <w14:defaultImageDpi w14:val="300"/>
  <w15:docId w15:val="{918818AF-F379-4192-8B71-EC41AE0D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49"/>
    <w:pPr>
      <w:spacing w:line="276" w:lineRule="auto"/>
    </w:pPr>
    <w:rPr>
      <w:rFonts w:asciiTheme="majorHAnsi" w:hAnsiTheme="majorHAnsi"/>
      <w:sz w:val="20"/>
    </w:rPr>
  </w:style>
  <w:style w:type="paragraph" w:styleId="Heading1">
    <w:name w:val="heading 1"/>
    <w:basedOn w:val="Normal"/>
    <w:next w:val="Normal"/>
    <w:link w:val="Heading1Char"/>
    <w:qFormat/>
    <w:rsid w:val="009C1C49"/>
    <w:pPr>
      <w:keepNext/>
      <w:pBdr>
        <w:bottom w:val="single" w:sz="6" w:space="6" w:color="auto"/>
      </w:pBdr>
      <w:spacing w:after="240" w:line="240" w:lineRule="auto"/>
      <w:jc w:val="center"/>
      <w:outlineLvl w:val="0"/>
    </w:pPr>
    <w:rPr>
      <w:rFonts w:eastAsiaTheme="majorEastAsia" w:cstheme="majorBidi"/>
      <w:bCs/>
      <w:color w:val="262626" w:themeColor="text1" w:themeTint="D9"/>
      <w:kern w:val="32"/>
      <w:sz w:val="24"/>
      <w:szCs w:val="32"/>
    </w:rPr>
  </w:style>
  <w:style w:type="paragraph" w:styleId="Heading2">
    <w:name w:val="heading 2"/>
    <w:basedOn w:val="Normal"/>
    <w:next w:val="Normal"/>
    <w:link w:val="Heading2Char"/>
    <w:autoRedefine/>
    <w:unhideWhenUsed/>
    <w:qFormat/>
    <w:rsid w:val="009C1C49"/>
    <w:pPr>
      <w:keepNext/>
      <w:keepLines/>
      <w:spacing w:before="120" w:after="120" w:line="240" w:lineRule="auto"/>
      <w:outlineLvl w:val="1"/>
    </w:pPr>
    <w:rPr>
      <w:rFonts w:eastAsiaTheme="majorEastAsia" w:cstheme="majorBidi"/>
      <w:bCs/>
      <w:color w:val="C00000"/>
      <w:sz w:val="26"/>
    </w:rPr>
  </w:style>
  <w:style w:type="paragraph" w:styleId="Heading3">
    <w:name w:val="heading 3"/>
    <w:basedOn w:val="Normal"/>
    <w:next w:val="Normal"/>
    <w:link w:val="Heading3Char"/>
    <w:uiPriority w:val="9"/>
    <w:unhideWhenUsed/>
    <w:qFormat/>
    <w:rsid w:val="009C1C49"/>
    <w:pPr>
      <w:keepNext/>
      <w:keepLines/>
      <w:spacing w:after="120"/>
      <w:outlineLvl w:val="2"/>
    </w:pPr>
    <w:rPr>
      <w:rFonts w:eastAsiaTheme="majorEastAsia" w:cstheme="majorBidi"/>
      <w:b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C49"/>
    <w:rPr>
      <w:rFonts w:asciiTheme="majorHAnsi" w:eastAsiaTheme="majorEastAsia" w:hAnsiTheme="majorHAnsi" w:cstheme="majorBidi"/>
      <w:bCs/>
      <w:color w:val="262626" w:themeColor="text1" w:themeTint="D9"/>
    </w:rPr>
  </w:style>
  <w:style w:type="character" w:customStyle="1" w:styleId="Heading1Char">
    <w:name w:val="Heading 1 Char"/>
    <w:basedOn w:val="DefaultParagraphFont"/>
    <w:link w:val="Heading1"/>
    <w:rsid w:val="009C1C49"/>
    <w:rPr>
      <w:rFonts w:asciiTheme="majorHAnsi" w:eastAsiaTheme="majorEastAsia" w:hAnsiTheme="majorHAnsi" w:cstheme="majorBidi"/>
      <w:bCs/>
      <w:color w:val="262626" w:themeColor="text1" w:themeTint="D9"/>
      <w:kern w:val="32"/>
      <w:szCs w:val="32"/>
    </w:rPr>
  </w:style>
  <w:style w:type="character" w:customStyle="1" w:styleId="Heading2Char">
    <w:name w:val="Heading 2 Char"/>
    <w:basedOn w:val="DefaultParagraphFont"/>
    <w:link w:val="Heading2"/>
    <w:rsid w:val="009C1C49"/>
    <w:rPr>
      <w:rFonts w:asciiTheme="majorHAnsi" w:eastAsiaTheme="majorEastAsia" w:hAnsiTheme="majorHAnsi" w:cstheme="majorBidi"/>
      <w:bCs/>
      <w:color w:val="C00000"/>
      <w:sz w:val="26"/>
    </w:rPr>
  </w:style>
  <w:style w:type="paragraph" w:styleId="Footer">
    <w:name w:val="footer"/>
    <w:basedOn w:val="Normal"/>
    <w:link w:val="FooterChar"/>
    <w:uiPriority w:val="99"/>
    <w:unhideWhenUsed/>
    <w:rsid w:val="009C1C49"/>
    <w:pPr>
      <w:pBdr>
        <w:top w:val="single" w:sz="2" w:space="4" w:color="808080" w:themeColor="background1" w:themeShade="80"/>
      </w:pBdr>
      <w:tabs>
        <w:tab w:val="center" w:pos="4320"/>
        <w:tab w:val="right" w:pos="8640"/>
      </w:tabs>
      <w:spacing w:line="240" w:lineRule="auto"/>
    </w:pPr>
    <w:rPr>
      <w:color w:val="595959" w:themeColor="text1" w:themeTint="A6"/>
      <w:sz w:val="18"/>
    </w:rPr>
  </w:style>
  <w:style w:type="character" w:customStyle="1" w:styleId="FooterChar">
    <w:name w:val="Footer Char"/>
    <w:basedOn w:val="DefaultParagraphFont"/>
    <w:link w:val="Footer"/>
    <w:uiPriority w:val="99"/>
    <w:rsid w:val="009C1C49"/>
    <w:rPr>
      <w:rFonts w:asciiTheme="majorHAnsi" w:hAnsiTheme="majorHAnsi"/>
      <w:color w:val="595959" w:themeColor="text1" w:themeTint="A6"/>
      <w:sz w:val="18"/>
    </w:rPr>
  </w:style>
  <w:style w:type="table" w:styleId="TableGrid">
    <w:name w:val="Table Grid"/>
    <w:basedOn w:val="TableNormal"/>
    <w:uiPriority w:val="59"/>
    <w:rsid w:val="005B088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List Paragraph (numbered (a)),Dot pt,F5 List Paragraph,No Spacing1,List Paragraph Char Char Char,Indicator Text,Numbered Para 1,Bullet 1,List Paragraph12,Bullet Points,MAIN CONTENT,WB Para"/>
    <w:basedOn w:val="Normal"/>
    <w:link w:val="ListParagraphChar"/>
    <w:uiPriority w:val="34"/>
    <w:qFormat/>
    <w:rsid w:val="00D26D2A"/>
    <w:pPr>
      <w:spacing w:before="60" w:after="60"/>
      <w:ind w:left="720"/>
      <w:contextualSpacing/>
    </w:pPr>
  </w:style>
  <w:style w:type="character" w:customStyle="1" w:styleId="ListParagraphChar">
    <w:name w:val="List Paragraph Char"/>
    <w:aliases w:val="Lapis Bulleted List Char,List Paragraph (numbered (a)) Char,Dot pt Char,F5 List Paragraph Char,No Spacing1 Char,List Paragraph Char Char Char Char,Indicator Text Char,Numbered Para 1 Char,Bullet 1 Char,List Paragraph12 Char"/>
    <w:basedOn w:val="DefaultParagraphFont"/>
    <w:link w:val="ListParagraph"/>
    <w:uiPriority w:val="99"/>
    <w:qFormat/>
    <w:locked/>
    <w:rsid w:val="00D26D2A"/>
    <w:rPr>
      <w:rFonts w:asciiTheme="majorHAnsi" w:hAnsiTheme="majorHAnsi"/>
      <w:sz w:val="20"/>
    </w:rPr>
  </w:style>
  <w:style w:type="paragraph" w:styleId="FootnoteText">
    <w:name w:val="footnote text"/>
    <w:basedOn w:val="Normal"/>
    <w:link w:val="FootnoteTextChar"/>
    <w:uiPriority w:val="99"/>
    <w:unhideWhenUsed/>
    <w:rsid w:val="00CE77F4"/>
    <w:pPr>
      <w:spacing w:line="240" w:lineRule="auto"/>
    </w:pPr>
    <w:rPr>
      <w:sz w:val="24"/>
    </w:rPr>
  </w:style>
  <w:style w:type="character" w:customStyle="1" w:styleId="FootnoteTextChar">
    <w:name w:val="Footnote Text Char"/>
    <w:basedOn w:val="DefaultParagraphFont"/>
    <w:link w:val="FootnoteText"/>
    <w:uiPriority w:val="99"/>
    <w:rsid w:val="00CE77F4"/>
    <w:rPr>
      <w:rFonts w:asciiTheme="majorHAnsi" w:hAnsiTheme="majorHAnsi"/>
    </w:rPr>
  </w:style>
  <w:style w:type="character" w:styleId="FootnoteReference">
    <w:name w:val="footnote reference"/>
    <w:basedOn w:val="DefaultParagraphFont"/>
    <w:uiPriority w:val="99"/>
    <w:unhideWhenUsed/>
    <w:rsid w:val="00CE77F4"/>
    <w:rPr>
      <w:vertAlign w:val="superscript"/>
    </w:rPr>
  </w:style>
  <w:style w:type="character" w:styleId="CommentReference">
    <w:name w:val="annotation reference"/>
    <w:basedOn w:val="DefaultParagraphFont"/>
    <w:uiPriority w:val="99"/>
    <w:semiHidden/>
    <w:unhideWhenUsed/>
    <w:rsid w:val="008A6F24"/>
    <w:rPr>
      <w:sz w:val="16"/>
      <w:szCs w:val="16"/>
    </w:rPr>
  </w:style>
  <w:style w:type="paragraph" w:styleId="CommentText">
    <w:name w:val="annotation text"/>
    <w:basedOn w:val="Normal"/>
    <w:link w:val="CommentTextChar"/>
    <w:uiPriority w:val="99"/>
    <w:semiHidden/>
    <w:unhideWhenUsed/>
    <w:rsid w:val="008A6F24"/>
    <w:pPr>
      <w:spacing w:line="240" w:lineRule="auto"/>
    </w:pPr>
    <w:rPr>
      <w:szCs w:val="20"/>
    </w:rPr>
  </w:style>
  <w:style w:type="character" w:customStyle="1" w:styleId="CommentTextChar">
    <w:name w:val="Comment Text Char"/>
    <w:basedOn w:val="DefaultParagraphFont"/>
    <w:link w:val="CommentText"/>
    <w:uiPriority w:val="99"/>
    <w:semiHidden/>
    <w:rsid w:val="008A6F24"/>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A6F24"/>
    <w:rPr>
      <w:b/>
      <w:bCs/>
    </w:rPr>
  </w:style>
  <w:style w:type="character" w:customStyle="1" w:styleId="CommentSubjectChar">
    <w:name w:val="Comment Subject Char"/>
    <w:basedOn w:val="CommentTextChar"/>
    <w:link w:val="CommentSubject"/>
    <w:uiPriority w:val="99"/>
    <w:semiHidden/>
    <w:rsid w:val="008A6F24"/>
    <w:rPr>
      <w:rFonts w:asciiTheme="majorHAnsi" w:hAnsiTheme="majorHAnsi"/>
      <w:b/>
      <w:bCs/>
      <w:sz w:val="20"/>
      <w:szCs w:val="20"/>
    </w:rPr>
  </w:style>
  <w:style w:type="paragraph" w:styleId="BalloonText">
    <w:name w:val="Balloon Text"/>
    <w:basedOn w:val="Normal"/>
    <w:link w:val="BalloonTextChar"/>
    <w:uiPriority w:val="99"/>
    <w:semiHidden/>
    <w:unhideWhenUsed/>
    <w:rsid w:val="008A6F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24"/>
    <w:rPr>
      <w:rFonts w:ascii="Segoe UI" w:hAnsi="Segoe UI" w:cs="Segoe UI"/>
      <w:sz w:val="18"/>
      <w:szCs w:val="18"/>
    </w:rPr>
  </w:style>
  <w:style w:type="paragraph" w:styleId="Header">
    <w:name w:val="header"/>
    <w:basedOn w:val="Normal"/>
    <w:link w:val="HeaderChar"/>
    <w:uiPriority w:val="99"/>
    <w:unhideWhenUsed/>
    <w:rsid w:val="005C5E9C"/>
    <w:pPr>
      <w:tabs>
        <w:tab w:val="center" w:pos="4680"/>
        <w:tab w:val="right" w:pos="9360"/>
      </w:tabs>
      <w:spacing w:line="240" w:lineRule="auto"/>
    </w:pPr>
  </w:style>
  <w:style w:type="character" w:customStyle="1" w:styleId="HeaderChar">
    <w:name w:val="Header Char"/>
    <w:basedOn w:val="DefaultParagraphFont"/>
    <w:link w:val="Header"/>
    <w:uiPriority w:val="99"/>
    <w:rsid w:val="005C5E9C"/>
    <w:rPr>
      <w:rFonts w:asciiTheme="majorHAnsi" w:hAnsiTheme="majorHAnsi"/>
      <w:sz w:val="20"/>
    </w:rPr>
  </w:style>
  <w:style w:type="character" w:styleId="Hyperlink">
    <w:name w:val="Hyperlink"/>
    <w:basedOn w:val="DefaultParagraphFont"/>
    <w:uiPriority w:val="99"/>
    <w:unhideWhenUsed/>
    <w:rsid w:val="007C6A72"/>
    <w:rPr>
      <w:color w:val="0000FF" w:themeColor="hyperlink"/>
      <w:u w:val="single"/>
    </w:rPr>
  </w:style>
  <w:style w:type="character" w:styleId="Mention">
    <w:name w:val="Mention"/>
    <w:basedOn w:val="DefaultParagraphFont"/>
    <w:uiPriority w:val="99"/>
    <w:semiHidden/>
    <w:unhideWhenUsed/>
    <w:rsid w:val="007C6A72"/>
    <w:rPr>
      <w:color w:val="2B579A"/>
      <w:shd w:val="clear" w:color="auto" w:fill="E6E6E6"/>
    </w:rPr>
  </w:style>
  <w:style w:type="character" w:styleId="FollowedHyperlink">
    <w:name w:val="FollowedHyperlink"/>
    <w:basedOn w:val="DefaultParagraphFont"/>
    <w:uiPriority w:val="99"/>
    <w:semiHidden/>
    <w:unhideWhenUsed/>
    <w:rsid w:val="00C01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9682">
      <w:bodyDiv w:val="1"/>
      <w:marLeft w:val="0"/>
      <w:marRight w:val="0"/>
      <w:marTop w:val="0"/>
      <w:marBottom w:val="0"/>
      <w:divBdr>
        <w:top w:val="none" w:sz="0" w:space="0" w:color="auto"/>
        <w:left w:val="none" w:sz="0" w:space="0" w:color="auto"/>
        <w:bottom w:val="none" w:sz="0" w:space="0" w:color="auto"/>
        <w:right w:val="none" w:sz="0" w:space="0" w:color="auto"/>
      </w:divBdr>
    </w:div>
    <w:div w:id="656153512">
      <w:bodyDiv w:val="1"/>
      <w:marLeft w:val="0"/>
      <w:marRight w:val="0"/>
      <w:marTop w:val="0"/>
      <w:marBottom w:val="0"/>
      <w:divBdr>
        <w:top w:val="none" w:sz="0" w:space="0" w:color="auto"/>
        <w:left w:val="none" w:sz="0" w:space="0" w:color="auto"/>
        <w:bottom w:val="none" w:sz="0" w:space="0" w:color="auto"/>
        <w:right w:val="none" w:sz="0" w:space="0" w:color="auto"/>
      </w:divBdr>
    </w:div>
    <w:div w:id="1067462439">
      <w:bodyDiv w:val="1"/>
      <w:marLeft w:val="0"/>
      <w:marRight w:val="0"/>
      <w:marTop w:val="0"/>
      <w:marBottom w:val="0"/>
      <w:divBdr>
        <w:top w:val="none" w:sz="0" w:space="0" w:color="auto"/>
        <w:left w:val="none" w:sz="0" w:space="0" w:color="auto"/>
        <w:bottom w:val="none" w:sz="0" w:space="0" w:color="auto"/>
        <w:right w:val="none" w:sz="0" w:space="0" w:color="auto"/>
      </w:divBdr>
    </w:div>
    <w:div w:id="1623223516">
      <w:bodyDiv w:val="1"/>
      <w:marLeft w:val="0"/>
      <w:marRight w:val="0"/>
      <w:marTop w:val="0"/>
      <w:marBottom w:val="0"/>
      <w:divBdr>
        <w:top w:val="none" w:sz="0" w:space="0" w:color="auto"/>
        <w:left w:val="none" w:sz="0" w:space="0" w:color="auto"/>
        <w:bottom w:val="none" w:sz="0" w:space="0" w:color="auto"/>
        <w:right w:val="none" w:sz="0" w:space="0" w:color="auto"/>
      </w:divBdr>
      <w:divsChild>
        <w:div w:id="494348323">
          <w:marLeft w:val="547"/>
          <w:marRight w:val="0"/>
          <w:marTop w:val="125"/>
          <w:marBottom w:val="0"/>
          <w:divBdr>
            <w:top w:val="none" w:sz="0" w:space="0" w:color="auto"/>
            <w:left w:val="none" w:sz="0" w:space="0" w:color="auto"/>
            <w:bottom w:val="none" w:sz="0" w:space="0" w:color="auto"/>
            <w:right w:val="none" w:sz="0" w:space="0" w:color="auto"/>
          </w:divBdr>
        </w:div>
        <w:div w:id="513737601">
          <w:marLeft w:val="547"/>
          <w:marRight w:val="0"/>
          <w:marTop w:val="125"/>
          <w:marBottom w:val="0"/>
          <w:divBdr>
            <w:top w:val="none" w:sz="0" w:space="0" w:color="auto"/>
            <w:left w:val="none" w:sz="0" w:space="0" w:color="auto"/>
            <w:bottom w:val="none" w:sz="0" w:space="0" w:color="auto"/>
            <w:right w:val="none" w:sz="0" w:space="0" w:color="auto"/>
          </w:divBdr>
        </w:div>
        <w:div w:id="539826049">
          <w:marLeft w:val="547"/>
          <w:marRight w:val="0"/>
          <w:marTop w:val="125"/>
          <w:marBottom w:val="0"/>
          <w:divBdr>
            <w:top w:val="none" w:sz="0" w:space="0" w:color="auto"/>
            <w:left w:val="none" w:sz="0" w:space="0" w:color="auto"/>
            <w:bottom w:val="none" w:sz="0" w:space="0" w:color="auto"/>
            <w:right w:val="none" w:sz="0" w:space="0" w:color="auto"/>
          </w:divBdr>
        </w:div>
        <w:div w:id="724909969">
          <w:marLeft w:val="547"/>
          <w:marRight w:val="0"/>
          <w:marTop w:val="125"/>
          <w:marBottom w:val="0"/>
          <w:divBdr>
            <w:top w:val="none" w:sz="0" w:space="0" w:color="auto"/>
            <w:left w:val="none" w:sz="0" w:space="0" w:color="auto"/>
            <w:bottom w:val="none" w:sz="0" w:space="0" w:color="auto"/>
            <w:right w:val="none" w:sz="0" w:space="0" w:color="auto"/>
          </w:divBdr>
        </w:div>
        <w:div w:id="1601140806">
          <w:marLeft w:val="547"/>
          <w:marRight w:val="0"/>
          <w:marTop w:val="125"/>
          <w:marBottom w:val="0"/>
          <w:divBdr>
            <w:top w:val="none" w:sz="0" w:space="0" w:color="auto"/>
            <w:left w:val="none" w:sz="0" w:space="0" w:color="auto"/>
            <w:bottom w:val="none" w:sz="0" w:space="0" w:color="auto"/>
            <w:right w:val="none" w:sz="0" w:space="0" w:color="auto"/>
          </w:divBdr>
        </w:div>
        <w:div w:id="1944798268">
          <w:marLeft w:val="547"/>
          <w:marRight w:val="0"/>
          <w:marTop w:val="125"/>
          <w:marBottom w:val="0"/>
          <w:divBdr>
            <w:top w:val="none" w:sz="0" w:space="0" w:color="auto"/>
            <w:left w:val="none" w:sz="0" w:space="0" w:color="auto"/>
            <w:bottom w:val="none" w:sz="0" w:space="0" w:color="auto"/>
            <w:right w:val="none" w:sz="0" w:space="0" w:color="auto"/>
          </w:divBdr>
        </w:div>
        <w:div w:id="2025131344">
          <w:marLeft w:val="547"/>
          <w:marRight w:val="0"/>
          <w:marTop w:val="125"/>
          <w:marBottom w:val="0"/>
          <w:divBdr>
            <w:top w:val="none" w:sz="0" w:space="0" w:color="auto"/>
            <w:left w:val="none" w:sz="0" w:space="0" w:color="auto"/>
            <w:bottom w:val="none" w:sz="0" w:space="0" w:color="auto"/>
            <w:right w:val="none" w:sz="0" w:space="0" w:color="auto"/>
          </w:divBdr>
        </w:div>
      </w:divsChild>
    </w:div>
    <w:div w:id="1823230094">
      <w:bodyDiv w:val="1"/>
      <w:marLeft w:val="0"/>
      <w:marRight w:val="0"/>
      <w:marTop w:val="0"/>
      <w:marBottom w:val="0"/>
      <w:divBdr>
        <w:top w:val="none" w:sz="0" w:space="0" w:color="auto"/>
        <w:left w:val="none" w:sz="0" w:space="0" w:color="auto"/>
        <w:bottom w:val="none" w:sz="0" w:space="0" w:color="auto"/>
        <w:right w:val="none" w:sz="0" w:space="0" w:color="auto"/>
      </w:divBdr>
      <w:divsChild>
        <w:div w:id="258561292">
          <w:marLeft w:val="720"/>
          <w:marRight w:val="0"/>
          <w:marTop w:val="154"/>
          <w:marBottom w:val="0"/>
          <w:divBdr>
            <w:top w:val="none" w:sz="0" w:space="0" w:color="auto"/>
            <w:left w:val="none" w:sz="0" w:space="0" w:color="auto"/>
            <w:bottom w:val="none" w:sz="0" w:space="0" w:color="auto"/>
            <w:right w:val="none" w:sz="0" w:space="0" w:color="auto"/>
          </w:divBdr>
        </w:div>
        <w:div w:id="991254178">
          <w:marLeft w:val="720"/>
          <w:marRight w:val="0"/>
          <w:marTop w:val="154"/>
          <w:marBottom w:val="0"/>
          <w:divBdr>
            <w:top w:val="none" w:sz="0" w:space="0" w:color="auto"/>
            <w:left w:val="none" w:sz="0" w:space="0" w:color="auto"/>
            <w:bottom w:val="none" w:sz="0" w:space="0" w:color="auto"/>
            <w:right w:val="none" w:sz="0" w:space="0" w:color="auto"/>
          </w:divBdr>
        </w:div>
        <w:div w:id="1308515319">
          <w:marLeft w:val="720"/>
          <w:marRight w:val="0"/>
          <w:marTop w:val="154"/>
          <w:marBottom w:val="0"/>
          <w:divBdr>
            <w:top w:val="none" w:sz="0" w:space="0" w:color="auto"/>
            <w:left w:val="none" w:sz="0" w:space="0" w:color="auto"/>
            <w:bottom w:val="none" w:sz="0" w:space="0" w:color="auto"/>
            <w:right w:val="none" w:sz="0" w:space="0" w:color="auto"/>
          </w:divBdr>
        </w:div>
        <w:div w:id="1439988030">
          <w:marLeft w:val="720"/>
          <w:marRight w:val="0"/>
          <w:marTop w:val="154"/>
          <w:marBottom w:val="0"/>
          <w:divBdr>
            <w:top w:val="none" w:sz="0" w:space="0" w:color="auto"/>
            <w:left w:val="none" w:sz="0" w:space="0" w:color="auto"/>
            <w:bottom w:val="none" w:sz="0" w:space="0" w:color="auto"/>
            <w:right w:val="none" w:sz="0" w:space="0" w:color="auto"/>
          </w:divBdr>
        </w:div>
        <w:div w:id="1735658686">
          <w:marLeft w:val="720"/>
          <w:marRight w:val="0"/>
          <w:marTop w:val="154"/>
          <w:marBottom w:val="0"/>
          <w:divBdr>
            <w:top w:val="none" w:sz="0" w:space="0" w:color="auto"/>
            <w:left w:val="none" w:sz="0" w:space="0" w:color="auto"/>
            <w:bottom w:val="none" w:sz="0" w:space="0" w:color="auto"/>
            <w:right w:val="none" w:sz="0" w:space="0" w:color="auto"/>
          </w:divBdr>
        </w:div>
        <w:div w:id="1806197600">
          <w:marLeft w:val="720"/>
          <w:marRight w:val="0"/>
          <w:marTop w:val="154"/>
          <w:marBottom w:val="0"/>
          <w:divBdr>
            <w:top w:val="none" w:sz="0" w:space="0" w:color="auto"/>
            <w:left w:val="none" w:sz="0" w:space="0" w:color="auto"/>
            <w:bottom w:val="none" w:sz="0" w:space="0" w:color="auto"/>
            <w:right w:val="none" w:sz="0" w:space="0" w:color="auto"/>
          </w:divBdr>
        </w:div>
      </w:divsChild>
    </w:div>
    <w:div w:id="2048676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shlearning.org/elan/ela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cashlearning.org/downloads/resources/guidelines/calp-crs-tip-sheet-web.pdf"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shlearning.org/downloads/calp-sowc-report-annexes-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7" ma:contentTypeDescription="Create a new document." ma:contentTypeScope="" ma:versionID="85c5f180554624ddcd8132074af4273d">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6c2f3bbba6d6516da4af3ddd51f3e681"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inal version to donor: Submitted to BHA by AAH US" ma:format="Dropdown" ma:internalName="Comment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0f807-6470-49c9-9013-5383bb65a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ef795e-b81a-4ffc-9ea4-40ed7661b511}" ma:internalName="TaxCatchAll" ma:showField="CatchAllData" ma:web="d84e34d7-3a23-4db1-bd04-bac9aaa6e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lcf76f155ced4ddcb4097134ff3c332f xmlns="96677b0e-5047-4b5f-ac73-b9b2f2ac6276">
      <Terms xmlns="http://schemas.microsoft.com/office/infopath/2007/PartnerControls"/>
    </lcf76f155ced4ddcb4097134ff3c332f>
    <TaxCatchAll xmlns="d84e34d7-3a23-4db1-bd04-bac9aaa6e872" xsi:nil="true"/>
  </documentManagement>
</p:properties>
</file>

<file path=customXml/itemProps1.xml><?xml version="1.0" encoding="utf-8"?>
<ds:datastoreItem xmlns:ds="http://schemas.openxmlformats.org/officeDocument/2006/customXml" ds:itemID="{51D97338-D134-46B5-B380-21AE9722237E}">
  <ds:schemaRefs>
    <ds:schemaRef ds:uri="http://schemas.microsoft.com/sharepoint/v3/contenttype/forms"/>
  </ds:schemaRefs>
</ds:datastoreItem>
</file>

<file path=customXml/itemProps2.xml><?xml version="1.0" encoding="utf-8"?>
<ds:datastoreItem xmlns:ds="http://schemas.openxmlformats.org/officeDocument/2006/customXml" ds:itemID="{E9CD6D67-8AB2-409D-97C2-C3BB526C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77b0e-5047-4b5f-ac73-b9b2f2ac6276"/>
    <ds:schemaRef ds:uri="d84e34d7-3a23-4db1-bd04-bac9aaa6e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16584-3136-4FE7-96ED-D2BCD175065F}">
  <ds:schemaRefs>
    <ds:schemaRef ds:uri="http://schemas.microsoft.com/office/2006/metadata/properties"/>
    <ds:schemaRef ds:uri="http://schemas.microsoft.com/office/infopath/2007/PartnerControls"/>
    <ds:schemaRef ds:uri="96677b0e-5047-4b5f-ac73-b9b2f2ac6276"/>
    <ds:schemaRef ds:uri="d84e34d7-3a23-4db1-bd04-bac9aaa6e87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913</Words>
  <Characters>5205</Characters>
  <Application>Microsoft Office Word</Application>
  <DocSecurity>4</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Bodgener</dc:creator>
  <cp:keywords/>
  <dc:description/>
  <cp:lastModifiedBy>Greg Rodwell</cp:lastModifiedBy>
  <cp:revision>8</cp:revision>
  <cp:lastPrinted>2018-03-06T22:07:00Z</cp:lastPrinted>
  <dcterms:created xsi:type="dcterms:W3CDTF">2018-07-24T01:59:00Z</dcterms:created>
  <dcterms:modified xsi:type="dcterms:W3CDTF">2022-06-10T03:48:00Z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