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B981C" w14:textId="2E370D0E" w:rsidR="000B4D11" w:rsidRPr="00BB0887" w:rsidRDefault="000B4D11" w:rsidP="00F313D6">
      <w:pPr>
        <w:shd w:val="clear" w:color="auto" w:fill="BFBFBF" w:themeFill="background1" w:themeFillShade="BF"/>
        <w:contextualSpacing/>
        <w:jc w:val="center"/>
        <w:rPr>
          <w:b/>
          <w:sz w:val="28"/>
          <w:szCs w:val="28"/>
          <w:lang w:val="en-GB"/>
        </w:rPr>
      </w:pPr>
      <w:r w:rsidRPr="00BB0887">
        <w:rPr>
          <w:b/>
          <w:sz w:val="28"/>
          <w:szCs w:val="28"/>
          <w:lang w:val="en-GB"/>
        </w:rPr>
        <w:t xml:space="preserve">Somalia Social </w:t>
      </w:r>
      <w:r w:rsidR="00913679">
        <w:rPr>
          <w:b/>
          <w:sz w:val="28"/>
          <w:szCs w:val="28"/>
          <w:lang w:val="en-GB"/>
        </w:rPr>
        <w:t xml:space="preserve">Protection </w:t>
      </w:r>
      <w:r w:rsidR="00AF3F0A" w:rsidRPr="00BB0887">
        <w:rPr>
          <w:b/>
          <w:sz w:val="28"/>
          <w:szCs w:val="28"/>
          <w:lang w:val="en-GB"/>
        </w:rPr>
        <w:t>Donor Working Group</w:t>
      </w:r>
      <w:r w:rsidR="00913679">
        <w:rPr>
          <w:b/>
          <w:sz w:val="28"/>
          <w:szCs w:val="28"/>
          <w:lang w:val="en-GB"/>
        </w:rPr>
        <w:t xml:space="preserve"> (DWG)</w:t>
      </w:r>
    </w:p>
    <w:p w14:paraId="70E74428" w14:textId="77777777" w:rsidR="000B4D11" w:rsidRPr="00BB0887" w:rsidRDefault="000B4D11" w:rsidP="00A561E9">
      <w:pPr>
        <w:contextualSpacing/>
        <w:rPr>
          <w:lang w:val="en-GB"/>
        </w:rPr>
      </w:pPr>
    </w:p>
    <w:p w14:paraId="732EB880" w14:textId="10FC9DD7" w:rsidR="009060CE" w:rsidRPr="00BB0887" w:rsidRDefault="004468C8" w:rsidP="00913679">
      <w:pPr>
        <w:contextualSpacing/>
        <w:jc w:val="center"/>
        <w:rPr>
          <w:lang w:val="en-GB"/>
        </w:rPr>
      </w:pPr>
      <w:r w:rsidRPr="00BB0887">
        <w:rPr>
          <w:lang w:val="en-GB"/>
        </w:rPr>
        <w:t>Term</w:t>
      </w:r>
      <w:r w:rsidR="009021B3" w:rsidRPr="00BB0887">
        <w:rPr>
          <w:lang w:val="en-GB"/>
        </w:rPr>
        <w:t>s</w:t>
      </w:r>
      <w:r w:rsidRPr="00BB0887">
        <w:rPr>
          <w:lang w:val="en-GB"/>
        </w:rPr>
        <w:t xml:space="preserve"> of Reference</w:t>
      </w:r>
      <w:r w:rsidR="00BD4E0E" w:rsidRPr="00BB0887">
        <w:rPr>
          <w:lang w:val="en-GB"/>
        </w:rPr>
        <w:t xml:space="preserve"> (ToR)</w:t>
      </w:r>
      <w:r w:rsidR="009021B3" w:rsidRPr="00BB0887">
        <w:rPr>
          <w:lang w:val="en-GB"/>
        </w:rPr>
        <w:t xml:space="preserve"> </w:t>
      </w:r>
    </w:p>
    <w:p w14:paraId="6268FE02" w14:textId="77777777" w:rsidR="00505CC1" w:rsidRPr="00BB0887" w:rsidRDefault="00505CC1" w:rsidP="00A561E9">
      <w:pPr>
        <w:contextualSpacing/>
        <w:rPr>
          <w:lang w:val="en-GB"/>
        </w:rPr>
      </w:pPr>
    </w:p>
    <w:p w14:paraId="70E58823" w14:textId="77777777" w:rsidR="00505CC1" w:rsidRPr="00BB0887" w:rsidRDefault="00505CC1" w:rsidP="00A561E9">
      <w:pPr>
        <w:pBdr>
          <w:top w:val="single" w:sz="4" w:space="1" w:color="auto"/>
        </w:pBdr>
        <w:contextualSpacing/>
        <w:rPr>
          <w:lang w:val="en-GB"/>
        </w:rPr>
      </w:pPr>
    </w:p>
    <w:p w14:paraId="30A498C2" w14:textId="78AAF197" w:rsidR="004468C8" w:rsidRPr="00BB0887" w:rsidRDefault="00F25825" w:rsidP="009021B3">
      <w:pPr>
        <w:pBdr>
          <w:top w:val="single" w:sz="4" w:space="1" w:color="auto"/>
        </w:pBdr>
        <w:contextualSpacing/>
        <w:jc w:val="center"/>
        <w:rPr>
          <w:i/>
          <w:lang w:val="en-GB"/>
        </w:rPr>
      </w:pPr>
      <w:r w:rsidRPr="00BB0887">
        <w:rPr>
          <w:i/>
          <w:lang w:val="en-GB"/>
        </w:rPr>
        <w:t xml:space="preserve">Revised version </w:t>
      </w:r>
      <w:r w:rsidR="00F62378">
        <w:rPr>
          <w:i/>
          <w:lang w:val="en-GB"/>
        </w:rPr>
        <w:t>May</w:t>
      </w:r>
      <w:r w:rsidRPr="00BB0887">
        <w:rPr>
          <w:i/>
          <w:lang w:val="en-GB"/>
        </w:rPr>
        <w:t xml:space="preserve"> 2021</w:t>
      </w:r>
    </w:p>
    <w:p w14:paraId="35850FA3" w14:textId="77777777" w:rsidR="00A23439" w:rsidRPr="00BB0887" w:rsidRDefault="00A23439" w:rsidP="00A561E9">
      <w:pPr>
        <w:contextualSpacing/>
        <w:rPr>
          <w:lang w:val="en-GB"/>
        </w:rPr>
      </w:pPr>
    </w:p>
    <w:p w14:paraId="4CB5ACCB" w14:textId="77777777" w:rsidR="004468C8" w:rsidRPr="00BB0887" w:rsidRDefault="004468C8" w:rsidP="00A561E9">
      <w:pPr>
        <w:pStyle w:val="ListParagraph"/>
        <w:numPr>
          <w:ilvl w:val="0"/>
          <w:numId w:val="3"/>
        </w:numPr>
        <w:rPr>
          <w:b/>
          <w:lang w:val="en-GB"/>
        </w:rPr>
      </w:pPr>
      <w:r w:rsidRPr="00BB0887">
        <w:rPr>
          <w:b/>
          <w:lang w:val="en-GB"/>
        </w:rPr>
        <w:t>Background</w:t>
      </w:r>
    </w:p>
    <w:p w14:paraId="70B2B3A5" w14:textId="77777777" w:rsidR="00505CC1" w:rsidRPr="00BB0887" w:rsidRDefault="00505CC1" w:rsidP="00A561E9">
      <w:pPr>
        <w:contextualSpacing/>
        <w:rPr>
          <w:lang w:val="en-GB"/>
        </w:rPr>
      </w:pPr>
    </w:p>
    <w:p w14:paraId="12A2C139" w14:textId="32D66D47" w:rsidR="009021B3" w:rsidRPr="00BB0887" w:rsidRDefault="00D70DA4" w:rsidP="009021B3">
      <w:pPr>
        <w:spacing w:after="200" w:line="276" w:lineRule="auto"/>
        <w:jc w:val="both"/>
        <w:rPr>
          <w:rFonts w:asciiTheme="minorHAnsi" w:hAnsiTheme="minorHAnsi" w:cstheme="minorBidi"/>
          <w:lang w:val="en-GB"/>
        </w:rPr>
      </w:pPr>
      <w:r w:rsidRPr="00BB0887">
        <w:rPr>
          <w:rFonts w:asciiTheme="minorHAnsi" w:hAnsiTheme="minorHAnsi" w:cstheme="minorBidi"/>
          <w:lang w:val="en-GB"/>
        </w:rPr>
        <w:t>Large-scale</w:t>
      </w:r>
      <w:r w:rsidR="009021B3" w:rsidRPr="00BB0887">
        <w:rPr>
          <w:rFonts w:asciiTheme="minorHAnsi" w:hAnsiTheme="minorHAnsi" w:cstheme="minorBidi"/>
          <w:lang w:val="en-GB"/>
        </w:rPr>
        <w:t xml:space="preserve"> cash and voucher transfers have</w:t>
      </w:r>
      <w:r w:rsidR="001C506D" w:rsidRPr="00BB0887">
        <w:rPr>
          <w:rFonts w:asciiTheme="minorHAnsi" w:hAnsiTheme="minorHAnsi" w:cstheme="minorBidi"/>
          <w:lang w:val="en-GB"/>
        </w:rPr>
        <w:t xml:space="preserve"> long</w:t>
      </w:r>
      <w:r w:rsidR="009021B3" w:rsidRPr="00BB0887">
        <w:rPr>
          <w:rFonts w:asciiTheme="minorHAnsi" w:hAnsiTheme="minorHAnsi" w:cstheme="minorBidi"/>
          <w:lang w:val="en-GB"/>
        </w:rPr>
        <w:t xml:space="preserve"> formed the basis of t</w:t>
      </w:r>
      <w:r w:rsidR="00BB0887">
        <w:rPr>
          <w:rFonts w:asciiTheme="minorHAnsi" w:hAnsiTheme="minorHAnsi" w:cstheme="minorBidi"/>
          <w:lang w:val="en-GB"/>
        </w:rPr>
        <w:t xml:space="preserve">he humanitarian response to </w:t>
      </w:r>
      <w:r w:rsidR="001C506D" w:rsidRPr="00BB0887">
        <w:rPr>
          <w:rFonts w:asciiTheme="minorHAnsi" w:hAnsiTheme="minorHAnsi" w:cstheme="minorBidi"/>
          <w:lang w:val="en-GB"/>
        </w:rPr>
        <w:t>crises</w:t>
      </w:r>
      <w:r w:rsidR="009021B3" w:rsidRPr="00BB0887">
        <w:rPr>
          <w:rFonts w:asciiTheme="minorHAnsi" w:hAnsiTheme="minorHAnsi" w:cstheme="minorBidi"/>
          <w:lang w:val="en-GB"/>
        </w:rPr>
        <w:t xml:space="preserve"> in Somalia and successfully so. While sporadic small scale cash transfer projects in the past lacked coordination and coherence, this time a great deal of effort has been expended by donors and partners to better harmonize the transfers into a cohesive single programme approach, especially regarding the unrestricted multi-purpose cash primarily delivered through the mobile phone network (Mobile Money). </w:t>
      </w:r>
      <w:r w:rsidR="008A7896" w:rsidRPr="00BB0887">
        <w:rPr>
          <w:rFonts w:asciiTheme="minorHAnsi" w:hAnsiTheme="minorHAnsi" w:cstheme="minorBidi"/>
          <w:lang w:val="en-GB"/>
        </w:rPr>
        <w:t xml:space="preserve">The </w:t>
      </w:r>
      <w:r w:rsidR="001C506D" w:rsidRPr="00BB0887">
        <w:rPr>
          <w:rFonts w:asciiTheme="minorHAnsi" w:hAnsiTheme="minorHAnsi" w:cstheme="minorBidi"/>
          <w:lang w:val="en-GB"/>
        </w:rPr>
        <w:t>Somalia Social Protection Policy and its Implementation Framework</w:t>
      </w:r>
      <w:r w:rsidR="009021B3" w:rsidRPr="00BB0887">
        <w:rPr>
          <w:rFonts w:asciiTheme="minorHAnsi" w:hAnsiTheme="minorHAnsi" w:cstheme="minorBidi"/>
          <w:lang w:val="en-GB"/>
        </w:rPr>
        <w:t xml:space="preserve"> </w:t>
      </w:r>
      <w:r w:rsidRPr="00D70DA4">
        <w:rPr>
          <w:rFonts w:asciiTheme="minorHAnsi" w:hAnsiTheme="minorHAnsi" w:cstheme="minorBidi"/>
          <w:lang w:val="en-GB"/>
        </w:rPr>
        <w:t>are</w:t>
      </w:r>
      <w:r w:rsidR="008A7896" w:rsidRPr="00BB0887">
        <w:rPr>
          <w:rFonts w:asciiTheme="minorHAnsi" w:hAnsiTheme="minorHAnsi" w:cstheme="minorBidi"/>
          <w:lang w:val="en-GB"/>
        </w:rPr>
        <w:t xml:space="preserve"> setting the foundations for </w:t>
      </w:r>
      <w:r w:rsidR="009021B3" w:rsidRPr="00BB0887">
        <w:rPr>
          <w:rFonts w:asciiTheme="minorHAnsi" w:hAnsiTheme="minorHAnsi" w:cstheme="minorBidi"/>
          <w:lang w:val="en-GB"/>
        </w:rPr>
        <w:t xml:space="preserve">a longer-term predictable and sustainable </w:t>
      </w:r>
      <w:r w:rsidR="001C506D" w:rsidRPr="00BB0887">
        <w:rPr>
          <w:rFonts w:asciiTheme="minorHAnsi" w:hAnsiTheme="minorHAnsi" w:cstheme="minorBidi"/>
          <w:lang w:val="en-GB"/>
        </w:rPr>
        <w:t>social protection system</w:t>
      </w:r>
      <w:r w:rsidR="009021B3" w:rsidRPr="00BB0887">
        <w:rPr>
          <w:rFonts w:asciiTheme="minorHAnsi" w:hAnsiTheme="minorHAnsi" w:cstheme="minorBidi"/>
          <w:lang w:val="en-GB"/>
        </w:rPr>
        <w:t xml:space="preserve"> that will eventually be scalable in order to include both chronic and transitory caseloads.</w:t>
      </w:r>
    </w:p>
    <w:p w14:paraId="08AAB847" w14:textId="78229831" w:rsidR="00D11866" w:rsidRPr="00BB0887" w:rsidRDefault="008A0377" w:rsidP="00BB0887">
      <w:pPr>
        <w:spacing w:after="200" w:line="276" w:lineRule="auto"/>
        <w:jc w:val="both"/>
        <w:rPr>
          <w:lang w:val="en-GB"/>
        </w:rPr>
      </w:pPr>
      <w:r w:rsidRPr="00BB0887">
        <w:rPr>
          <w:rFonts w:asciiTheme="minorHAnsi" w:hAnsiTheme="minorHAnsi" w:cstheme="minorBidi"/>
          <w:lang w:val="en-GB"/>
        </w:rPr>
        <w:t xml:space="preserve">The desired transition from an emergency cash transfer programme to a social </w:t>
      </w:r>
      <w:r w:rsidR="001C506D" w:rsidRPr="00BB0887">
        <w:rPr>
          <w:rFonts w:asciiTheme="minorHAnsi" w:hAnsiTheme="minorHAnsi" w:cstheme="minorBidi"/>
          <w:lang w:val="en-GB"/>
        </w:rPr>
        <w:t>protection system</w:t>
      </w:r>
      <w:r w:rsidRPr="00BB0887">
        <w:rPr>
          <w:rFonts w:asciiTheme="minorHAnsi" w:hAnsiTheme="minorHAnsi" w:cstheme="minorBidi"/>
          <w:lang w:val="en-GB"/>
        </w:rPr>
        <w:t xml:space="preserve"> with predictable</w:t>
      </w:r>
      <w:r w:rsidR="00D70DA4">
        <w:rPr>
          <w:rFonts w:asciiTheme="minorHAnsi" w:hAnsiTheme="minorHAnsi" w:cstheme="minorBidi"/>
          <w:lang w:val="en-GB"/>
        </w:rPr>
        <w:t xml:space="preserve"> cash</w:t>
      </w:r>
      <w:r w:rsidRPr="00BB0887">
        <w:rPr>
          <w:rFonts w:asciiTheme="minorHAnsi" w:hAnsiTheme="minorHAnsi" w:cstheme="minorBidi"/>
          <w:lang w:val="en-GB"/>
        </w:rPr>
        <w:t xml:space="preserve"> transfers and a capacity to adapt to new shocks (before or during their occurrence) </w:t>
      </w:r>
      <w:r w:rsidR="008A7896" w:rsidRPr="00BB0887">
        <w:rPr>
          <w:rFonts w:asciiTheme="minorHAnsi" w:hAnsiTheme="minorHAnsi" w:cstheme="minorBidi"/>
          <w:lang w:val="en-GB"/>
        </w:rPr>
        <w:t>needs a continuous coordination,</w:t>
      </w:r>
      <w:r w:rsidRPr="00BB0887">
        <w:rPr>
          <w:rFonts w:asciiTheme="minorHAnsi" w:hAnsiTheme="minorHAnsi" w:cstheme="minorBidi"/>
          <w:lang w:val="en-GB"/>
        </w:rPr>
        <w:t xml:space="preserve"> preparation and technical assistance (see concept note for more details). </w:t>
      </w:r>
      <w:r w:rsidR="004B22F4">
        <w:rPr>
          <w:rFonts w:asciiTheme="minorHAnsi" w:hAnsiTheme="minorHAnsi" w:cstheme="minorBidi"/>
          <w:lang w:val="en-GB"/>
        </w:rPr>
        <w:t>The</w:t>
      </w:r>
      <w:r w:rsidR="008A7896" w:rsidRPr="00BB0887">
        <w:rPr>
          <w:rFonts w:asciiTheme="minorHAnsi" w:hAnsiTheme="minorHAnsi" w:cstheme="minorBidi"/>
          <w:lang w:val="en-GB"/>
        </w:rPr>
        <w:t xml:space="preserve"> Donor Working Group will</w:t>
      </w:r>
      <w:r w:rsidR="004B22F4">
        <w:rPr>
          <w:rFonts w:asciiTheme="minorHAnsi" w:hAnsiTheme="minorHAnsi" w:cstheme="minorBidi"/>
          <w:lang w:val="en-GB"/>
        </w:rPr>
        <w:t xml:space="preserve"> strive towards to increasing</w:t>
      </w:r>
      <w:r w:rsidR="004B22F4" w:rsidRPr="00704FCF">
        <w:rPr>
          <w:rFonts w:asciiTheme="minorHAnsi" w:hAnsiTheme="minorHAnsi" w:cstheme="minorBidi"/>
          <w:lang w:val="en-GB"/>
        </w:rPr>
        <w:t xml:space="preserve"> harmonization, alignment and predictability among donors and Humanitarian and Development Partner</w:t>
      </w:r>
      <w:r w:rsidR="004B22F4">
        <w:rPr>
          <w:rFonts w:asciiTheme="minorHAnsi" w:hAnsiTheme="minorHAnsi" w:cstheme="minorBidi"/>
          <w:lang w:val="en-GB"/>
        </w:rPr>
        <w:t>s,</w:t>
      </w:r>
      <w:r w:rsidR="00BB0887">
        <w:rPr>
          <w:rFonts w:asciiTheme="minorHAnsi" w:hAnsiTheme="minorHAnsi" w:cstheme="minorBidi"/>
          <w:lang w:val="en-GB"/>
        </w:rPr>
        <w:t xml:space="preserve"> </w:t>
      </w:r>
      <w:r w:rsidRPr="00BB0887">
        <w:rPr>
          <w:rFonts w:asciiTheme="minorHAnsi" w:hAnsiTheme="minorHAnsi" w:cstheme="minorBidi"/>
          <w:lang w:val="en-GB"/>
        </w:rPr>
        <w:t>build</w:t>
      </w:r>
      <w:r w:rsidR="004B22F4">
        <w:rPr>
          <w:rFonts w:asciiTheme="minorHAnsi" w:hAnsiTheme="minorHAnsi" w:cstheme="minorBidi"/>
          <w:lang w:val="en-GB"/>
        </w:rPr>
        <w:t>ing</w:t>
      </w:r>
      <w:r w:rsidRPr="00BB0887">
        <w:rPr>
          <w:rFonts w:asciiTheme="minorHAnsi" w:hAnsiTheme="minorHAnsi" w:cstheme="minorBidi"/>
          <w:lang w:val="en-GB"/>
        </w:rPr>
        <w:t xml:space="preserve"> on the earlier efforts of the emergency cash </w:t>
      </w:r>
      <w:r w:rsidR="00C14190" w:rsidRPr="00BB0887">
        <w:rPr>
          <w:rFonts w:asciiTheme="minorHAnsi" w:hAnsiTheme="minorHAnsi" w:cstheme="minorBidi"/>
          <w:lang w:val="en-GB"/>
        </w:rPr>
        <w:t xml:space="preserve">transfer </w:t>
      </w:r>
      <w:r w:rsidRPr="00BB0887">
        <w:rPr>
          <w:rFonts w:asciiTheme="minorHAnsi" w:hAnsiTheme="minorHAnsi" w:cstheme="minorBidi"/>
          <w:lang w:val="en-GB"/>
        </w:rPr>
        <w:t>programmes</w:t>
      </w:r>
      <w:r w:rsidR="004B22F4">
        <w:rPr>
          <w:rFonts w:asciiTheme="minorHAnsi" w:hAnsiTheme="minorHAnsi" w:cstheme="minorBidi"/>
          <w:lang w:val="en-GB"/>
        </w:rPr>
        <w:t xml:space="preserve"> and ongoing initiatives like the Baxnaano and the SAGAL programmes, which are supporting the development of a government-owned, shock-responsive social transfer system in Somalia.</w:t>
      </w:r>
      <w:r w:rsidRPr="00BB0887">
        <w:rPr>
          <w:rFonts w:asciiTheme="minorHAnsi" w:hAnsiTheme="minorHAnsi" w:cstheme="minorBidi"/>
          <w:lang w:val="en-GB"/>
        </w:rPr>
        <w:t xml:space="preserve"> </w:t>
      </w:r>
      <w:r w:rsidR="008A7896" w:rsidRPr="00BB0887">
        <w:rPr>
          <w:rFonts w:asciiTheme="minorHAnsi" w:hAnsiTheme="minorHAnsi" w:cstheme="minorBidi"/>
          <w:lang w:val="en-GB"/>
        </w:rPr>
        <w:t>E</w:t>
      </w:r>
      <w:r w:rsidRPr="00BB0887">
        <w:rPr>
          <w:rFonts w:asciiTheme="minorHAnsi" w:hAnsiTheme="minorHAnsi" w:cstheme="minorBidi"/>
          <w:lang w:val="en-GB"/>
        </w:rPr>
        <w:t>ffectively develop</w:t>
      </w:r>
      <w:r w:rsidR="008A7896" w:rsidRPr="00BB0887">
        <w:rPr>
          <w:rFonts w:asciiTheme="minorHAnsi" w:hAnsiTheme="minorHAnsi" w:cstheme="minorBidi"/>
          <w:lang w:val="en-GB"/>
        </w:rPr>
        <w:t>ing</w:t>
      </w:r>
      <w:r w:rsidRPr="00BB0887">
        <w:rPr>
          <w:rFonts w:asciiTheme="minorHAnsi" w:hAnsiTheme="minorHAnsi" w:cstheme="minorBidi"/>
          <w:lang w:val="en-GB"/>
        </w:rPr>
        <w:t xml:space="preserve"> a shock-responsive social </w:t>
      </w:r>
      <w:r w:rsidR="008A7896" w:rsidRPr="00BB0887">
        <w:rPr>
          <w:rFonts w:asciiTheme="minorHAnsi" w:hAnsiTheme="minorHAnsi" w:cstheme="minorBidi"/>
          <w:lang w:val="en-GB"/>
        </w:rPr>
        <w:t xml:space="preserve">protection system in </w:t>
      </w:r>
      <w:r w:rsidRPr="00BB0887">
        <w:rPr>
          <w:rFonts w:asciiTheme="minorHAnsi" w:hAnsiTheme="minorHAnsi" w:cstheme="minorBidi"/>
          <w:lang w:val="en-GB"/>
        </w:rPr>
        <w:t xml:space="preserve">Somalia </w:t>
      </w:r>
      <w:r w:rsidR="00B74B60" w:rsidRPr="00BB0887">
        <w:rPr>
          <w:rFonts w:asciiTheme="minorHAnsi" w:hAnsiTheme="minorHAnsi" w:cstheme="minorBidi"/>
          <w:lang w:val="en-GB"/>
        </w:rPr>
        <w:t xml:space="preserve">requires </w:t>
      </w:r>
      <w:r w:rsidRPr="00BB0887">
        <w:rPr>
          <w:rFonts w:asciiTheme="minorHAnsi" w:hAnsiTheme="minorHAnsi" w:cstheme="minorBidi"/>
          <w:lang w:val="en-GB"/>
        </w:rPr>
        <w:t xml:space="preserve">a collective </w:t>
      </w:r>
      <w:r w:rsidR="00B74B60" w:rsidRPr="00BB0887">
        <w:rPr>
          <w:rFonts w:asciiTheme="minorHAnsi" w:hAnsiTheme="minorHAnsi" w:cstheme="minorBidi"/>
          <w:lang w:val="en-GB"/>
        </w:rPr>
        <w:t xml:space="preserve">approach and a concrete commitment from a critical number of interested donors and </w:t>
      </w:r>
      <w:r w:rsidR="00C14190" w:rsidRPr="00BB0887">
        <w:rPr>
          <w:rFonts w:asciiTheme="minorHAnsi" w:hAnsiTheme="minorHAnsi" w:cstheme="minorBidi"/>
          <w:lang w:val="en-GB"/>
        </w:rPr>
        <w:t xml:space="preserve">an </w:t>
      </w:r>
      <w:r w:rsidR="00B74B60" w:rsidRPr="00BB0887">
        <w:rPr>
          <w:rFonts w:asciiTheme="minorHAnsi" w:hAnsiTheme="minorHAnsi" w:cstheme="minorBidi"/>
          <w:lang w:val="en-GB"/>
        </w:rPr>
        <w:t xml:space="preserve">open and transparent dialogue </w:t>
      </w:r>
      <w:r w:rsidR="008A7896" w:rsidRPr="00BB0887">
        <w:rPr>
          <w:rFonts w:asciiTheme="minorHAnsi" w:hAnsiTheme="minorHAnsi" w:cstheme="minorBidi"/>
          <w:lang w:val="en-GB"/>
        </w:rPr>
        <w:t>that is aligned with Government priorities and the principle of ownership</w:t>
      </w:r>
      <w:r w:rsidR="00BB0887">
        <w:rPr>
          <w:rFonts w:asciiTheme="minorHAnsi" w:hAnsiTheme="minorHAnsi" w:cstheme="minorBidi"/>
          <w:lang w:val="en-GB"/>
        </w:rPr>
        <w:t>.</w:t>
      </w:r>
    </w:p>
    <w:p w14:paraId="186C332B" w14:textId="77777777" w:rsidR="00D11866" w:rsidRPr="00BB0887" w:rsidRDefault="00D11866" w:rsidP="00D11866">
      <w:pPr>
        <w:contextualSpacing/>
        <w:rPr>
          <w:lang w:val="en-GB"/>
        </w:rPr>
      </w:pPr>
    </w:p>
    <w:p w14:paraId="09F3B504" w14:textId="77777777" w:rsidR="009021B3" w:rsidRPr="00BB0887" w:rsidRDefault="00B74B60" w:rsidP="00D11866">
      <w:pPr>
        <w:pStyle w:val="ListParagraph"/>
        <w:numPr>
          <w:ilvl w:val="0"/>
          <w:numId w:val="3"/>
        </w:numPr>
        <w:rPr>
          <w:b/>
          <w:lang w:val="en-GB"/>
        </w:rPr>
      </w:pPr>
      <w:r w:rsidRPr="00BB0887">
        <w:rPr>
          <w:b/>
          <w:lang w:val="en-GB"/>
        </w:rPr>
        <w:t>The role of the DWG</w:t>
      </w:r>
    </w:p>
    <w:p w14:paraId="65741D5D" w14:textId="77777777" w:rsidR="00D11866" w:rsidRPr="00BB0887" w:rsidRDefault="00D11866" w:rsidP="00D11866">
      <w:pPr>
        <w:contextualSpacing/>
        <w:rPr>
          <w:lang w:val="en-GB"/>
        </w:rPr>
      </w:pPr>
    </w:p>
    <w:p w14:paraId="52E0AE42" w14:textId="71FEB711" w:rsidR="00A03039" w:rsidRDefault="00BD4E0E" w:rsidP="00116AFE">
      <w:pPr>
        <w:spacing w:after="200" w:line="276" w:lineRule="auto"/>
        <w:jc w:val="both"/>
        <w:rPr>
          <w:rFonts w:asciiTheme="minorHAnsi" w:hAnsiTheme="minorHAnsi" w:cstheme="minorBidi"/>
          <w:lang w:val="en-GB"/>
        </w:rPr>
      </w:pPr>
      <w:r w:rsidRPr="00BB0887">
        <w:rPr>
          <w:rFonts w:asciiTheme="minorHAnsi" w:hAnsiTheme="minorHAnsi" w:cstheme="minorBidi"/>
          <w:lang w:val="en-GB"/>
        </w:rPr>
        <w:t>The primary</w:t>
      </w:r>
      <w:r w:rsidR="00B74B60" w:rsidRPr="00BB0887">
        <w:rPr>
          <w:rFonts w:asciiTheme="minorHAnsi" w:hAnsiTheme="minorHAnsi" w:cstheme="minorBidi"/>
          <w:lang w:val="en-GB"/>
        </w:rPr>
        <w:t xml:space="preserve"> role </w:t>
      </w:r>
      <w:r w:rsidRPr="00BB0887">
        <w:rPr>
          <w:rFonts w:asciiTheme="minorHAnsi" w:hAnsiTheme="minorHAnsi" w:cstheme="minorBidi"/>
          <w:lang w:val="en-GB"/>
        </w:rPr>
        <w:t>of the DWG is to support donor harmonization</w:t>
      </w:r>
      <w:r w:rsidR="00116AFE">
        <w:rPr>
          <w:rFonts w:asciiTheme="minorHAnsi" w:hAnsiTheme="minorHAnsi" w:cstheme="minorBidi"/>
          <w:lang w:val="en-GB"/>
        </w:rPr>
        <w:t>/</w:t>
      </w:r>
      <w:r w:rsidR="00A03039">
        <w:rPr>
          <w:rFonts w:asciiTheme="minorHAnsi" w:hAnsiTheme="minorHAnsi" w:cstheme="minorBidi"/>
          <w:lang w:val="en-GB"/>
        </w:rPr>
        <w:t xml:space="preserve">coordination </w:t>
      </w:r>
      <w:r w:rsidR="00F3393C" w:rsidRPr="00BB0887">
        <w:rPr>
          <w:rFonts w:asciiTheme="minorHAnsi" w:hAnsiTheme="minorHAnsi" w:cstheme="minorBidi"/>
          <w:lang w:val="en-GB"/>
        </w:rPr>
        <w:t xml:space="preserve"> </w:t>
      </w:r>
      <w:r w:rsidR="00116AFE">
        <w:rPr>
          <w:rFonts w:asciiTheme="minorHAnsi" w:hAnsiTheme="minorHAnsi" w:cstheme="minorBidi"/>
          <w:lang w:val="en-GB"/>
        </w:rPr>
        <w:t xml:space="preserve">and </w:t>
      </w:r>
      <w:r w:rsidR="00116AFE" w:rsidRPr="00116AFE">
        <w:rPr>
          <w:rFonts w:asciiTheme="minorHAnsi" w:hAnsiTheme="minorHAnsi" w:cstheme="minorBidi"/>
        </w:rPr>
        <w:t xml:space="preserve">overall strategic relevance </w:t>
      </w:r>
      <w:r w:rsidRPr="00BB0887">
        <w:rPr>
          <w:rFonts w:asciiTheme="minorHAnsi" w:hAnsiTheme="minorHAnsi" w:cstheme="minorBidi"/>
          <w:lang w:val="en-GB"/>
        </w:rPr>
        <w:t xml:space="preserve">as it relates to </w:t>
      </w:r>
      <w:r w:rsidR="00D96CDA" w:rsidRPr="00D96CDA">
        <w:rPr>
          <w:rFonts w:asciiTheme="minorHAnsi" w:hAnsiTheme="minorHAnsi" w:cstheme="minorBidi"/>
          <w:lang w:val="en-GB"/>
        </w:rPr>
        <w:t>s</w:t>
      </w:r>
      <w:r w:rsidR="00AF3F0A" w:rsidRPr="00BB0887">
        <w:rPr>
          <w:rFonts w:asciiTheme="minorHAnsi" w:hAnsiTheme="minorHAnsi" w:cstheme="minorBidi"/>
          <w:lang w:val="en-GB"/>
        </w:rPr>
        <w:t>upport</w:t>
      </w:r>
      <w:r w:rsidR="00A03039">
        <w:rPr>
          <w:rFonts w:asciiTheme="minorHAnsi" w:hAnsiTheme="minorHAnsi" w:cstheme="minorBidi"/>
          <w:lang w:val="en-GB"/>
        </w:rPr>
        <w:t xml:space="preserve">ing </w:t>
      </w:r>
      <w:r w:rsidR="00AF3F0A" w:rsidRPr="00BB0887">
        <w:rPr>
          <w:rFonts w:asciiTheme="minorHAnsi" w:hAnsiTheme="minorHAnsi" w:cstheme="minorBidi"/>
          <w:lang w:val="en-GB"/>
        </w:rPr>
        <w:t xml:space="preserve"> the social protection sector in Somalia</w:t>
      </w:r>
      <w:r w:rsidR="00116AFE">
        <w:rPr>
          <w:rFonts w:asciiTheme="minorHAnsi" w:hAnsiTheme="minorHAnsi" w:cstheme="minorBidi"/>
          <w:lang w:val="en-GB"/>
        </w:rPr>
        <w:t>.  M</w:t>
      </w:r>
      <w:r w:rsidR="00A03039">
        <w:rPr>
          <w:rFonts w:asciiTheme="minorHAnsi" w:hAnsiTheme="minorHAnsi" w:cstheme="minorBidi"/>
          <w:lang w:val="en-GB"/>
        </w:rPr>
        <w:t>ore specifically the DWG will seek to:</w:t>
      </w:r>
    </w:p>
    <w:p w14:paraId="5E1D2FAE" w14:textId="55ECC1E4" w:rsidR="00A03039" w:rsidRDefault="00A03039" w:rsidP="00A03039">
      <w:pPr>
        <w:pStyle w:val="ListParagraph"/>
        <w:numPr>
          <w:ilvl w:val="0"/>
          <w:numId w:val="43"/>
        </w:numPr>
        <w:spacing w:after="200" w:line="276" w:lineRule="auto"/>
        <w:jc w:val="both"/>
        <w:rPr>
          <w:rFonts w:asciiTheme="minorHAnsi" w:hAnsiTheme="minorHAnsi" w:cstheme="minorBidi"/>
          <w:lang w:val="en-GB"/>
        </w:rPr>
      </w:pPr>
      <w:r>
        <w:rPr>
          <w:rFonts w:asciiTheme="minorHAnsi" w:hAnsiTheme="minorHAnsi" w:cstheme="minorBidi"/>
          <w:lang w:val="en-GB"/>
        </w:rPr>
        <w:t xml:space="preserve">Coordinate and harmonize donors’ policy, operational, technical assistance and capacity building initiatives in the </w:t>
      </w:r>
      <w:r w:rsidR="00103BE2">
        <w:rPr>
          <w:rFonts w:asciiTheme="minorHAnsi" w:hAnsiTheme="minorHAnsi" w:cstheme="minorBidi"/>
          <w:lang w:val="en-GB"/>
        </w:rPr>
        <w:t xml:space="preserve">SP </w:t>
      </w:r>
      <w:r>
        <w:rPr>
          <w:rFonts w:asciiTheme="minorHAnsi" w:hAnsiTheme="minorHAnsi" w:cstheme="minorBidi"/>
          <w:lang w:val="en-GB"/>
        </w:rPr>
        <w:t>sector</w:t>
      </w:r>
      <w:r w:rsidR="00F62378">
        <w:rPr>
          <w:rFonts w:asciiTheme="minorHAnsi" w:hAnsiTheme="minorHAnsi" w:cstheme="minorBidi"/>
          <w:lang w:val="en-GB"/>
        </w:rPr>
        <w:t>.</w:t>
      </w:r>
    </w:p>
    <w:p w14:paraId="32975A7E" w14:textId="5769A991" w:rsidR="00EA4423" w:rsidRDefault="00103BE2" w:rsidP="00A03039">
      <w:pPr>
        <w:pStyle w:val="ListParagraph"/>
        <w:numPr>
          <w:ilvl w:val="0"/>
          <w:numId w:val="43"/>
        </w:numPr>
        <w:spacing w:after="200" w:line="276" w:lineRule="auto"/>
        <w:jc w:val="both"/>
        <w:rPr>
          <w:rFonts w:asciiTheme="minorHAnsi" w:hAnsiTheme="minorHAnsi" w:cstheme="minorBidi"/>
          <w:lang w:val="en-GB"/>
        </w:rPr>
      </w:pPr>
      <w:r>
        <w:rPr>
          <w:rFonts w:asciiTheme="minorHAnsi" w:hAnsiTheme="minorHAnsi" w:cstheme="minorBidi"/>
          <w:lang w:val="en-GB"/>
        </w:rPr>
        <w:t>Support advancing the agenda of aligning donors’ support (humanitarian and development) to the national SP agenda and national SP programs (as feasible)</w:t>
      </w:r>
      <w:r w:rsidR="00F62378">
        <w:rPr>
          <w:rFonts w:asciiTheme="minorHAnsi" w:hAnsiTheme="minorHAnsi" w:cstheme="minorBidi"/>
          <w:lang w:val="en-GB"/>
        </w:rPr>
        <w:t>.</w:t>
      </w:r>
    </w:p>
    <w:p w14:paraId="036F17B3" w14:textId="1C8F84DA" w:rsidR="00103BE2" w:rsidRDefault="00103BE2" w:rsidP="00A03039">
      <w:pPr>
        <w:pStyle w:val="ListParagraph"/>
        <w:numPr>
          <w:ilvl w:val="0"/>
          <w:numId w:val="43"/>
        </w:numPr>
        <w:spacing w:after="200" w:line="276" w:lineRule="auto"/>
        <w:jc w:val="both"/>
        <w:rPr>
          <w:rFonts w:asciiTheme="minorHAnsi" w:hAnsiTheme="minorHAnsi" w:cstheme="minorBidi"/>
          <w:lang w:val="en-GB"/>
        </w:rPr>
      </w:pPr>
      <w:r>
        <w:rPr>
          <w:rFonts w:asciiTheme="minorHAnsi" w:hAnsiTheme="minorHAnsi" w:cstheme="minorBidi"/>
          <w:lang w:val="en-GB"/>
        </w:rPr>
        <w:t>Explore opportunities to support joint programming</w:t>
      </w:r>
      <w:r w:rsidR="00F62378">
        <w:rPr>
          <w:rFonts w:asciiTheme="minorHAnsi" w:hAnsiTheme="minorHAnsi" w:cstheme="minorBidi"/>
          <w:lang w:val="en-GB"/>
        </w:rPr>
        <w:t>.</w:t>
      </w:r>
      <w:bookmarkStart w:id="0" w:name="_GoBack"/>
      <w:bookmarkEnd w:id="0"/>
      <w:r>
        <w:rPr>
          <w:rFonts w:asciiTheme="minorHAnsi" w:hAnsiTheme="minorHAnsi" w:cstheme="minorBidi"/>
          <w:lang w:val="en-GB"/>
        </w:rPr>
        <w:t xml:space="preserve"> </w:t>
      </w:r>
    </w:p>
    <w:p w14:paraId="7F6706C7" w14:textId="59845BD9" w:rsidR="00103BE2" w:rsidRDefault="00103BE2" w:rsidP="00A03039">
      <w:pPr>
        <w:pStyle w:val="ListParagraph"/>
        <w:numPr>
          <w:ilvl w:val="0"/>
          <w:numId w:val="43"/>
        </w:numPr>
        <w:spacing w:after="200" w:line="276" w:lineRule="auto"/>
        <w:jc w:val="both"/>
        <w:rPr>
          <w:rFonts w:asciiTheme="minorHAnsi" w:hAnsiTheme="minorHAnsi" w:cstheme="minorBidi"/>
          <w:lang w:val="en-GB"/>
        </w:rPr>
      </w:pPr>
      <w:r>
        <w:rPr>
          <w:rFonts w:asciiTheme="minorHAnsi" w:hAnsiTheme="minorHAnsi" w:cstheme="minorBidi"/>
          <w:lang w:val="en-GB"/>
        </w:rPr>
        <w:t xml:space="preserve">Coordinate and build consensus on a donors’ policy dialogue with </w:t>
      </w:r>
      <w:r w:rsidR="00F62378">
        <w:rPr>
          <w:rFonts w:asciiTheme="minorHAnsi" w:hAnsiTheme="minorHAnsi" w:cstheme="minorBidi"/>
          <w:lang w:val="en-GB"/>
        </w:rPr>
        <w:t xml:space="preserve">the </w:t>
      </w:r>
      <w:r>
        <w:rPr>
          <w:rFonts w:asciiTheme="minorHAnsi" w:hAnsiTheme="minorHAnsi" w:cstheme="minorBidi"/>
          <w:lang w:val="en-GB"/>
        </w:rPr>
        <w:t>Gov</w:t>
      </w:r>
      <w:r w:rsidR="00F62378">
        <w:rPr>
          <w:rFonts w:asciiTheme="minorHAnsi" w:hAnsiTheme="minorHAnsi" w:cstheme="minorBidi"/>
          <w:lang w:val="en-GB"/>
        </w:rPr>
        <w:t>ernment.</w:t>
      </w:r>
    </w:p>
    <w:p w14:paraId="3DA29540" w14:textId="3E528938" w:rsidR="00103BE2" w:rsidRPr="008C5034" w:rsidRDefault="00103BE2" w:rsidP="008C5034">
      <w:pPr>
        <w:pStyle w:val="ListParagraph"/>
        <w:spacing w:after="200" w:line="276" w:lineRule="auto"/>
        <w:ind w:left="770"/>
        <w:jc w:val="both"/>
        <w:rPr>
          <w:rFonts w:asciiTheme="minorHAnsi" w:hAnsiTheme="minorHAnsi" w:cstheme="minorBidi"/>
          <w:lang w:val="en-GB"/>
        </w:rPr>
      </w:pPr>
      <w:r>
        <w:rPr>
          <w:rFonts w:asciiTheme="minorHAnsi" w:hAnsiTheme="minorHAnsi" w:cstheme="minorBidi"/>
          <w:lang w:val="en-GB"/>
        </w:rPr>
        <w:t xml:space="preserve"> </w:t>
      </w:r>
    </w:p>
    <w:p w14:paraId="73776837" w14:textId="0C093DFE" w:rsidR="00B74B60" w:rsidRPr="00BB0887" w:rsidRDefault="00D63F16" w:rsidP="00DD0281">
      <w:pPr>
        <w:spacing w:after="200" w:line="276" w:lineRule="auto"/>
        <w:jc w:val="both"/>
        <w:rPr>
          <w:rFonts w:asciiTheme="minorHAnsi" w:hAnsiTheme="minorHAnsi" w:cstheme="minorBidi"/>
          <w:lang w:val="en-GB"/>
        </w:rPr>
      </w:pPr>
      <w:r w:rsidRPr="00BB0887">
        <w:rPr>
          <w:rFonts w:asciiTheme="minorHAnsi" w:hAnsiTheme="minorHAnsi" w:cstheme="minorBidi"/>
          <w:lang w:val="en-GB"/>
        </w:rPr>
        <w:lastRenderedPageBreak/>
        <w:t xml:space="preserve">The </w:t>
      </w:r>
      <w:r w:rsidR="00D70DA4">
        <w:rPr>
          <w:rFonts w:asciiTheme="minorHAnsi" w:hAnsiTheme="minorHAnsi" w:cstheme="minorBidi"/>
          <w:lang w:val="en-GB"/>
        </w:rPr>
        <w:t xml:space="preserve">work of the </w:t>
      </w:r>
      <w:r w:rsidRPr="00BB0887">
        <w:rPr>
          <w:rFonts w:asciiTheme="minorHAnsi" w:hAnsiTheme="minorHAnsi" w:cstheme="minorBidi"/>
          <w:lang w:val="en-GB"/>
        </w:rPr>
        <w:t xml:space="preserve">DWG will be </w:t>
      </w:r>
      <w:r w:rsidR="00D70DA4">
        <w:rPr>
          <w:rFonts w:asciiTheme="minorHAnsi" w:hAnsiTheme="minorHAnsi" w:cstheme="minorBidi"/>
          <w:lang w:val="en-GB"/>
        </w:rPr>
        <w:t>guided by joint objectives that will be developed</w:t>
      </w:r>
      <w:r w:rsidR="004B22F4">
        <w:rPr>
          <w:rFonts w:asciiTheme="minorHAnsi" w:hAnsiTheme="minorHAnsi" w:cstheme="minorBidi"/>
          <w:lang w:val="en-GB"/>
        </w:rPr>
        <w:t xml:space="preserve"> on an annual basis</w:t>
      </w:r>
      <w:r w:rsidR="00D70DA4">
        <w:rPr>
          <w:rFonts w:asciiTheme="minorHAnsi" w:hAnsiTheme="minorHAnsi" w:cstheme="minorBidi"/>
          <w:lang w:val="en-GB"/>
        </w:rPr>
        <w:t xml:space="preserve"> in response to the identified needs and in line with Government policy and strategy</w:t>
      </w:r>
      <w:r w:rsidRPr="00BB0887">
        <w:rPr>
          <w:rFonts w:asciiTheme="minorHAnsi" w:hAnsiTheme="minorHAnsi" w:cstheme="minorBidi"/>
          <w:lang w:val="en-GB"/>
        </w:rPr>
        <w:t>.</w:t>
      </w:r>
      <w:r w:rsidR="00AF3F0A" w:rsidRPr="00BB0887">
        <w:rPr>
          <w:rFonts w:asciiTheme="minorHAnsi" w:hAnsiTheme="minorHAnsi" w:cstheme="minorBidi"/>
          <w:lang w:val="en-GB"/>
        </w:rPr>
        <w:t xml:space="preserve"> The DWG will also facilitate communication and coordination vis-à-vis the Government-Donor Working Group on Social Protection and other important coordination mechanisms in the sector. </w:t>
      </w:r>
    </w:p>
    <w:p w14:paraId="46E5FB05" w14:textId="517A55D6" w:rsidR="00EA4423" w:rsidRPr="00BB0887" w:rsidRDefault="00EA4423" w:rsidP="00DD0281">
      <w:pPr>
        <w:spacing w:after="200" w:line="276" w:lineRule="auto"/>
        <w:jc w:val="both"/>
        <w:rPr>
          <w:rFonts w:asciiTheme="minorHAnsi" w:hAnsiTheme="minorHAnsi" w:cstheme="minorBidi"/>
          <w:lang w:val="en-GB"/>
        </w:rPr>
      </w:pPr>
      <w:r w:rsidRPr="00BB0887">
        <w:rPr>
          <w:rFonts w:asciiTheme="minorHAnsi" w:hAnsiTheme="minorHAnsi" w:cstheme="minorBidi"/>
          <w:lang w:val="en-GB"/>
        </w:rPr>
        <w:t xml:space="preserve">The DWG should remain a flexible platform of interested donors for consultation, information sharing and </w:t>
      </w:r>
      <w:r w:rsidR="005E2813">
        <w:rPr>
          <w:rFonts w:asciiTheme="minorHAnsi" w:hAnsiTheme="minorHAnsi" w:cstheme="minorBidi"/>
          <w:lang w:val="en-GB"/>
        </w:rPr>
        <w:t xml:space="preserve">streamlining </w:t>
      </w:r>
      <w:r w:rsidRPr="00BB0887">
        <w:rPr>
          <w:rFonts w:asciiTheme="minorHAnsi" w:hAnsiTheme="minorHAnsi" w:cstheme="minorBidi"/>
          <w:lang w:val="en-GB"/>
        </w:rPr>
        <w:t>th</w:t>
      </w:r>
      <w:r w:rsidR="00AF3F0A" w:rsidRPr="00BB0887">
        <w:rPr>
          <w:rFonts w:asciiTheme="minorHAnsi" w:hAnsiTheme="minorHAnsi" w:cstheme="minorBidi"/>
          <w:lang w:val="en-GB"/>
        </w:rPr>
        <w:t xml:space="preserve">e support </w:t>
      </w:r>
      <w:r w:rsidR="00103BE2">
        <w:rPr>
          <w:rFonts w:asciiTheme="minorHAnsi" w:hAnsiTheme="minorHAnsi" w:cstheme="minorBidi"/>
          <w:lang w:val="en-GB"/>
        </w:rPr>
        <w:t xml:space="preserve">to </w:t>
      </w:r>
      <w:r w:rsidR="00AF3F0A" w:rsidRPr="00BB0887">
        <w:rPr>
          <w:rFonts w:asciiTheme="minorHAnsi" w:hAnsiTheme="minorHAnsi" w:cstheme="minorBidi"/>
          <w:lang w:val="en-GB"/>
        </w:rPr>
        <w:t xml:space="preserve">the social protection sector in Somalia. </w:t>
      </w:r>
      <w:r w:rsidRPr="00BB0887">
        <w:rPr>
          <w:rFonts w:asciiTheme="minorHAnsi" w:hAnsiTheme="minorHAnsi" w:cstheme="minorBidi"/>
          <w:lang w:val="en-GB"/>
        </w:rPr>
        <w:t xml:space="preserve">  </w:t>
      </w:r>
    </w:p>
    <w:p w14:paraId="7FDBBE29" w14:textId="75F87A67" w:rsidR="0065728D" w:rsidRDefault="0065728D" w:rsidP="00A561E9">
      <w:pPr>
        <w:pStyle w:val="Default"/>
        <w:jc w:val="both"/>
        <w:rPr>
          <w:rFonts w:ascii="Calibri" w:hAnsi="Calibri" w:cs="Calibri"/>
          <w:sz w:val="22"/>
          <w:szCs w:val="22"/>
          <w:lang w:val="en-GB"/>
        </w:rPr>
      </w:pPr>
    </w:p>
    <w:p w14:paraId="587CAF1D" w14:textId="77777777" w:rsidR="00BB0887" w:rsidRPr="00BB0887" w:rsidRDefault="00BB0887" w:rsidP="00A561E9">
      <w:pPr>
        <w:pStyle w:val="Default"/>
        <w:jc w:val="both"/>
        <w:rPr>
          <w:rFonts w:ascii="Calibri" w:hAnsi="Calibri" w:cs="Calibri"/>
          <w:sz w:val="22"/>
          <w:szCs w:val="22"/>
          <w:lang w:val="en-GB"/>
        </w:rPr>
      </w:pPr>
    </w:p>
    <w:p w14:paraId="2B5F383D" w14:textId="36296591" w:rsidR="0065728D" w:rsidRPr="008C5034" w:rsidRDefault="0065728D" w:rsidP="008C5034">
      <w:pPr>
        <w:pStyle w:val="ListParagraph"/>
        <w:numPr>
          <w:ilvl w:val="0"/>
          <w:numId w:val="3"/>
        </w:numPr>
        <w:rPr>
          <w:b/>
          <w:lang w:val="en-GB"/>
        </w:rPr>
      </w:pPr>
      <w:r w:rsidRPr="00103BE2">
        <w:rPr>
          <w:b/>
          <w:lang w:val="en-GB"/>
        </w:rPr>
        <w:t xml:space="preserve">The functioning </w:t>
      </w:r>
      <w:r w:rsidR="00116AFE">
        <w:rPr>
          <w:b/>
          <w:lang w:val="en-GB"/>
        </w:rPr>
        <w:t xml:space="preserve">modality </w:t>
      </w:r>
      <w:r w:rsidRPr="00103BE2">
        <w:rPr>
          <w:b/>
          <w:lang w:val="en-GB"/>
        </w:rPr>
        <w:t>of the DWG</w:t>
      </w:r>
      <w:r w:rsidR="00D63F16" w:rsidRPr="00103BE2">
        <w:rPr>
          <w:b/>
          <w:lang w:val="en-GB"/>
        </w:rPr>
        <w:t xml:space="preserve"> </w:t>
      </w:r>
    </w:p>
    <w:p w14:paraId="7EFD4A3B" w14:textId="551D924B" w:rsidR="0065728D" w:rsidRPr="00BB0887" w:rsidRDefault="0065728D" w:rsidP="00090309">
      <w:pPr>
        <w:pStyle w:val="ListParagraph"/>
        <w:numPr>
          <w:ilvl w:val="0"/>
          <w:numId w:val="42"/>
        </w:numPr>
        <w:spacing w:after="200" w:line="276" w:lineRule="auto"/>
        <w:jc w:val="both"/>
        <w:rPr>
          <w:rFonts w:asciiTheme="minorHAnsi" w:hAnsiTheme="minorHAnsi" w:cstheme="minorBidi"/>
          <w:lang w:val="en-GB"/>
        </w:rPr>
      </w:pPr>
      <w:r w:rsidRPr="00BB0887">
        <w:rPr>
          <w:rFonts w:asciiTheme="minorHAnsi" w:hAnsiTheme="minorHAnsi" w:cstheme="minorBidi"/>
          <w:lang w:val="en-GB"/>
        </w:rPr>
        <w:t xml:space="preserve">The DWG </w:t>
      </w:r>
      <w:r w:rsidR="004B22F4">
        <w:rPr>
          <w:rFonts w:asciiTheme="minorHAnsi" w:hAnsiTheme="minorHAnsi" w:cstheme="minorBidi"/>
          <w:lang w:val="en-GB"/>
        </w:rPr>
        <w:t>meets on a bi-monthly basis</w:t>
      </w:r>
      <w:r w:rsidR="00D96CDA">
        <w:rPr>
          <w:rFonts w:asciiTheme="minorHAnsi" w:hAnsiTheme="minorHAnsi" w:cstheme="minorBidi"/>
          <w:lang w:val="en-GB"/>
        </w:rPr>
        <w:t xml:space="preserve">. </w:t>
      </w:r>
      <w:r w:rsidR="00090309" w:rsidRPr="00BB0887">
        <w:rPr>
          <w:rFonts w:asciiTheme="minorHAnsi" w:hAnsiTheme="minorHAnsi" w:cstheme="minorBidi"/>
          <w:lang w:val="en-GB"/>
        </w:rPr>
        <w:t>Meetings will be following an established agenda and will be recorded in minutes with concrete action points. Additional ad hoc meetings are convened if so required.</w:t>
      </w:r>
    </w:p>
    <w:p w14:paraId="5615C3FA" w14:textId="510E89F8" w:rsidR="0065728D" w:rsidRPr="00BB0887" w:rsidRDefault="0065728D" w:rsidP="00DD0281">
      <w:pPr>
        <w:pStyle w:val="ListParagraph"/>
        <w:numPr>
          <w:ilvl w:val="0"/>
          <w:numId w:val="42"/>
        </w:numPr>
        <w:spacing w:after="200" w:line="276" w:lineRule="auto"/>
        <w:jc w:val="both"/>
        <w:rPr>
          <w:rFonts w:asciiTheme="minorHAnsi" w:hAnsiTheme="minorHAnsi" w:cstheme="minorBidi"/>
          <w:lang w:val="en-GB"/>
        </w:rPr>
      </w:pPr>
      <w:r w:rsidRPr="00BB0887">
        <w:rPr>
          <w:rFonts w:asciiTheme="minorHAnsi" w:hAnsiTheme="minorHAnsi" w:cstheme="minorBidi"/>
          <w:lang w:val="en-GB"/>
        </w:rPr>
        <w:t xml:space="preserve">Membership of the DWG is comprised of the Humanitarian and Development Donors that are committing financial and/or technical contributions to </w:t>
      </w:r>
      <w:r w:rsidR="00D96CDA">
        <w:rPr>
          <w:rFonts w:asciiTheme="minorHAnsi" w:hAnsiTheme="minorHAnsi" w:cstheme="minorBidi"/>
          <w:lang w:val="en-GB"/>
        </w:rPr>
        <w:t>social protection sector in Somalia.</w:t>
      </w:r>
      <w:r w:rsidRPr="00BB0887">
        <w:rPr>
          <w:rFonts w:asciiTheme="minorHAnsi" w:hAnsiTheme="minorHAnsi" w:cstheme="minorBidi"/>
          <w:lang w:val="en-GB"/>
        </w:rPr>
        <w:t xml:space="preserve"> </w:t>
      </w:r>
      <w:r w:rsidR="002415F5" w:rsidRPr="00BB0887">
        <w:rPr>
          <w:rFonts w:asciiTheme="minorHAnsi" w:hAnsiTheme="minorHAnsi" w:cstheme="minorBidi"/>
          <w:lang w:val="en-GB"/>
        </w:rPr>
        <w:t xml:space="preserve">Other non-donor members may </w:t>
      </w:r>
      <w:r w:rsidR="00375209">
        <w:rPr>
          <w:rFonts w:asciiTheme="minorHAnsi" w:hAnsiTheme="minorHAnsi" w:cstheme="minorBidi"/>
          <w:lang w:val="en-GB"/>
        </w:rPr>
        <w:t xml:space="preserve">be invited to join selected meeting </w:t>
      </w:r>
      <w:r w:rsidR="002415F5" w:rsidRPr="00BB0887">
        <w:rPr>
          <w:rFonts w:asciiTheme="minorHAnsi" w:hAnsiTheme="minorHAnsi" w:cstheme="minorBidi"/>
          <w:lang w:val="en-GB"/>
        </w:rPr>
        <w:t>if the majority of the DWG members so decide (as</w:t>
      </w:r>
      <w:r w:rsidR="00375209">
        <w:rPr>
          <w:rFonts w:asciiTheme="minorHAnsi" w:hAnsiTheme="minorHAnsi" w:cstheme="minorBidi"/>
          <w:lang w:val="en-GB"/>
        </w:rPr>
        <w:t xml:space="preserve"> guest participants)</w:t>
      </w:r>
      <w:r w:rsidR="002415F5" w:rsidRPr="00BB0887">
        <w:rPr>
          <w:rFonts w:asciiTheme="minorHAnsi" w:hAnsiTheme="minorHAnsi" w:cstheme="minorBidi"/>
          <w:lang w:val="en-GB"/>
        </w:rPr>
        <w:t>)</w:t>
      </w:r>
      <w:r w:rsidR="00C14190" w:rsidRPr="00BB0887">
        <w:rPr>
          <w:rFonts w:asciiTheme="minorHAnsi" w:hAnsiTheme="minorHAnsi" w:cstheme="minorBidi"/>
          <w:lang w:val="en-GB"/>
        </w:rPr>
        <w:t xml:space="preserve"> </w:t>
      </w:r>
    </w:p>
    <w:p w14:paraId="188599A4" w14:textId="35CFCC28" w:rsidR="0065728D" w:rsidRPr="00BB0887" w:rsidRDefault="0065728D" w:rsidP="00DD0281">
      <w:pPr>
        <w:pStyle w:val="ListParagraph"/>
        <w:numPr>
          <w:ilvl w:val="0"/>
          <w:numId w:val="42"/>
        </w:numPr>
        <w:spacing w:after="200" w:line="276" w:lineRule="auto"/>
        <w:jc w:val="both"/>
        <w:rPr>
          <w:rFonts w:asciiTheme="minorHAnsi" w:hAnsiTheme="minorHAnsi" w:cstheme="minorBidi"/>
          <w:lang w:val="en-GB"/>
        </w:rPr>
      </w:pPr>
      <w:r w:rsidRPr="00BB0887">
        <w:rPr>
          <w:rFonts w:asciiTheme="minorHAnsi" w:hAnsiTheme="minorHAnsi" w:cstheme="minorBidi"/>
          <w:lang w:val="en-GB"/>
        </w:rPr>
        <w:t xml:space="preserve">The DWG is chaired and co-chaired by two of the donors with </w:t>
      </w:r>
      <w:r w:rsidR="00D96CDA">
        <w:rPr>
          <w:rFonts w:asciiTheme="minorHAnsi" w:hAnsiTheme="minorHAnsi" w:cstheme="minorBidi"/>
          <w:lang w:val="en-GB"/>
        </w:rPr>
        <w:t xml:space="preserve">considerable </w:t>
      </w:r>
      <w:r w:rsidRPr="00BB0887">
        <w:rPr>
          <w:rFonts w:asciiTheme="minorHAnsi" w:hAnsiTheme="minorHAnsi" w:cstheme="minorBidi"/>
          <w:lang w:val="en-GB"/>
        </w:rPr>
        <w:t xml:space="preserve">financial contribution to the </w:t>
      </w:r>
      <w:r w:rsidR="00AF3F0A" w:rsidRPr="00BB0887">
        <w:rPr>
          <w:rFonts w:asciiTheme="minorHAnsi" w:hAnsiTheme="minorHAnsi" w:cstheme="minorBidi"/>
          <w:lang w:val="en-GB"/>
        </w:rPr>
        <w:t xml:space="preserve">social protection sector in Somalia </w:t>
      </w:r>
      <w:r w:rsidRPr="00BB0887">
        <w:rPr>
          <w:rFonts w:asciiTheme="minorHAnsi" w:hAnsiTheme="minorHAnsi" w:cstheme="minorBidi"/>
          <w:lang w:val="en-GB"/>
        </w:rPr>
        <w:t xml:space="preserve">on a rotating basis every </w:t>
      </w:r>
      <w:r w:rsidR="00D96CDA">
        <w:rPr>
          <w:rFonts w:asciiTheme="minorHAnsi" w:hAnsiTheme="minorHAnsi" w:cstheme="minorBidi"/>
          <w:lang w:val="en-GB"/>
        </w:rPr>
        <w:t>12</w:t>
      </w:r>
      <w:r w:rsidRPr="00BB0887">
        <w:rPr>
          <w:rFonts w:asciiTheme="minorHAnsi" w:hAnsiTheme="minorHAnsi" w:cstheme="minorBidi"/>
          <w:lang w:val="en-GB"/>
        </w:rPr>
        <w:t xml:space="preserve"> months. </w:t>
      </w:r>
      <w:r w:rsidR="00A07431" w:rsidRPr="00BB0887">
        <w:rPr>
          <w:rFonts w:asciiTheme="minorHAnsi" w:hAnsiTheme="minorHAnsi" w:cstheme="minorBidi"/>
          <w:lang w:val="en-GB"/>
        </w:rPr>
        <w:t xml:space="preserve">The official members of the DWG will decide on a simple system of nomination and selection amongst their co-members to assign the chair positions.  </w:t>
      </w:r>
      <w:r w:rsidRPr="00BB0887">
        <w:rPr>
          <w:rFonts w:asciiTheme="minorHAnsi" w:hAnsiTheme="minorHAnsi" w:cstheme="minorBidi"/>
          <w:lang w:val="en-GB"/>
        </w:rPr>
        <w:t xml:space="preserve">The responsibilities of the Donor Chair (DC) and Donor Co-Chair (DCC) include the </w:t>
      </w:r>
      <w:r w:rsidR="00D96CDA">
        <w:rPr>
          <w:rFonts w:asciiTheme="minorHAnsi" w:hAnsiTheme="minorHAnsi" w:cstheme="minorBidi"/>
          <w:lang w:val="en-GB"/>
        </w:rPr>
        <w:t xml:space="preserve">preparation, coordination, </w:t>
      </w:r>
      <w:r w:rsidRPr="00BB0887">
        <w:rPr>
          <w:rFonts w:asciiTheme="minorHAnsi" w:hAnsiTheme="minorHAnsi" w:cstheme="minorBidi"/>
          <w:lang w:val="en-GB"/>
        </w:rPr>
        <w:t>management</w:t>
      </w:r>
      <w:r w:rsidR="00D96CDA">
        <w:rPr>
          <w:rFonts w:asciiTheme="minorHAnsi" w:hAnsiTheme="minorHAnsi" w:cstheme="minorBidi"/>
          <w:lang w:val="en-GB"/>
        </w:rPr>
        <w:t xml:space="preserve"> and follow-up</w:t>
      </w:r>
      <w:r w:rsidRPr="00BB0887">
        <w:rPr>
          <w:rFonts w:asciiTheme="minorHAnsi" w:hAnsiTheme="minorHAnsi" w:cstheme="minorBidi"/>
          <w:lang w:val="en-GB"/>
        </w:rPr>
        <w:t xml:space="preserve"> of </w:t>
      </w:r>
      <w:r w:rsidR="002415F5" w:rsidRPr="00BB0887">
        <w:rPr>
          <w:rFonts w:asciiTheme="minorHAnsi" w:hAnsiTheme="minorHAnsi" w:cstheme="minorBidi"/>
          <w:lang w:val="en-GB"/>
        </w:rPr>
        <w:t xml:space="preserve">the </w:t>
      </w:r>
      <w:r w:rsidRPr="00BB0887">
        <w:rPr>
          <w:rFonts w:asciiTheme="minorHAnsi" w:hAnsiTheme="minorHAnsi" w:cstheme="minorBidi"/>
          <w:lang w:val="en-GB"/>
        </w:rPr>
        <w:t>regular donor meetings</w:t>
      </w:r>
      <w:r w:rsidR="00D96CDA">
        <w:rPr>
          <w:rFonts w:asciiTheme="minorHAnsi" w:hAnsiTheme="minorHAnsi" w:cstheme="minorBidi"/>
          <w:lang w:val="en-GB"/>
        </w:rPr>
        <w:t>.</w:t>
      </w:r>
      <w:r w:rsidR="00D63F16" w:rsidRPr="00BB0887">
        <w:rPr>
          <w:rFonts w:asciiTheme="minorHAnsi" w:hAnsiTheme="minorHAnsi" w:cstheme="minorBidi"/>
          <w:lang w:val="en-GB"/>
        </w:rPr>
        <w:t xml:space="preserve"> The DC and DCC will work as a team and </w:t>
      </w:r>
      <w:r w:rsidR="00375209">
        <w:rPr>
          <w:rFonts w:asciiTheme="minorHAnsi" w:hAnsiTheme="minorHAnsi" w:cstheme="minorBidi"/>
          <w:lang w:val="en-GB"/>
        </w:rPr>
        <w:t xml:space="preserve">agreement on actions </w:t>
      </w:r>
      <w:r w:rsidR="00D63F16" w:rsidRPr="00BB0887">
        <w:rPr>
          <w:rFonts w:asciiTheme="minorHAnsi" w:hAnsiTheme="minorHAnsi" w:cstheme="minorBidi"/>
          <w:lang w:val="en-GB"/>
        </w:rPr>
        <w:t xml:space="preserve"> should be taken on a consensus basis.</w:t>
      </w:r>
    </w:p>
    <w:p w14:paraId="1A2498F6" w14:textId="77777777" w:rsidR="00625EF5" w:rsidRPr="00BB0887" w:rsidRDefault="00625EF5" w:rsidP="00625EF5">
      <w:pPr>
        <w:pStyle w:val="ListParagraph"/>
        <w:numPr>
          <w:ilvl w:val="0"/>
          <w:numId w:val="42"/>
        </w:numPr>
        <w:spacing w:after="200" w:line="276" w:lineRule="auto"/>
        <w:jc w:val="both"/>
        <w:rPr>
          <w:rFonts w:asciiTheme="minorHAnsi" w:hAnsiTheme="minorHAnsi" w:cstheme="minorBidi"/>
          <w:lang w:val="en-GB"/>
        </w:rPr>
      </w:pPr>
      <w:r w:rsidRPr="00BB0887">
        <w:rPr>
          <w:rFonts w:asciiTheme="minorHAnsi" w:hAnsiTheme="minorHAnsi" w:cstheme="minorBidi"/>
          <w:lang w:val="en-GB"/>
        </w:rPr>
        <w:t>All DWG members should seek to have at least one regular core representative in the DWG meetings with the ability to represent the organization. If the core representative is not able to attend a meeting, a substitute should be nominated. The agenda should be discussed and substitutes should be thoroughly brief</w:t>
      </w:r>
      <w:r w:rsidR="002415F5" w:rsidRPr="00BB0887">
        <w:rPr>
          <w:rFonts w:asciiTheme="minorHAnsi" w:hAnsiTheme="minorHAnsi" w:cstheme="minorBidi"/>
          <w:lang w:val="en-GB"/>
        </w:rPr>
        <w:t>ed both on topics of discussion</w:t>
      </w:r>
      <w:r w:rsidRPr="00BB0887">
        <w:rPr>
          <w:rFonts w:asciiTheme="minorHAnsi" w:hAnsiTheme="minorHAnsi" w:cstheme="minorBidi"/>
          <w:lang w:val="en-GB"/>
        </w:rPr>
        <w:t xml:space="preserve"> and institutional positions. </w:t>
      </w:r>
    </w:p>
    <w:p w14:paraId="57C57371" w14:textId="77777777" w:rsidR="00B140E3" w:rsidRPr="00BB0887" w:rsidRDefault="00B140E3" w:rsidP="00A561E9">
      <w:pPr>
        <w:contextualSpacing/>
        <w:rPr>
          <w:lang w:val="en-GB"/>
        </w:rPr>
      </w:pPr>
    </w:p>
    <w:p w14:paraId="4CEAA82B" w14:textId="77777777" w:rsidR="00C156E0" w:rsidRPr="00BB0887" w:rsidRDefault="00C156E0" w:rsidP="00A561E9">
      <w:pPr>
        <w:contextualSpacing/>
        <w:jc w:val="center"/>
        <w:rPr>
          <w:lang w:val="en-GB"/>
        </w:rPr>
      </w:pPr>
    </w:p>
    <w:p w14:paraId="61424599" w14:textId="77777777" w:rsidR="00BB1A6E" w:rsidRPr="00BB0887" w:rsidRDefault="00BB1A6E" w:rsidP="00A561E9">
      <w:pPr>
        <w:contextualSpacing/>
        <w:rPr>
          <w:lang w:val="en-GB"/>
        </w:rPr>
      </w:pPr>
    </w:p>
    <w:p w14:paraId="4674DF77" w14:textId="77777777" w:rsidR="00A23439" w:rsidRPr="00BB0887" w:rsidRDefault="00A23439" w:rsidP="00A561E9">
      <w:pPr>
        <w:contextualSpacing/>
        <w:rPr>
          <w:lang w:val="en-GB"/>
        </w:rPr>
      </w:pPr>
    </w:p>
    <w:p w14:paraId="0CADACC1" w14:textId="77777777" w:rsidR="00A23439" w:rsidRPr="00BB0887" w:rsidRDefault="00A23439" w:rsidP="00A23439">
      <w:pPr>
        <w:autoSpaceDE w:val="0"/>
        <w:autoSpaceDN w:val="0"/>
        <w:adjustRightInd w:val="0"/>
        <w:jc w:val="both"/>
        <w:rPr>
          <w:lang w:val="en-GB"/>
        </w:rPr>
      </w:pPr>
    </w:p>
    <w:sectPr w:rsidR="00A23439" w:rsidRPr="00BB08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0A4D" w16cex:dateUtc="2021-05-11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8A187" w16cid:durableId="24450A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968A3" w14:textId="77777777" w:rsidR="004702D7" w:rsidRDefault="004702D7" w:rsidP="008C6FF3">
      <w:r>
        <w:separator/>
      </w:r>
    </w:p>
  </w:endnote>
  <w:endnote w:type="continuationSeparator" w:id="0">
    <w:p w14:paraId="5FC71E7A" w14:textId="77777777" w:rsidR="004702D7" w:rsidRDefault="004702D7" w:rsidP="008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9336" w14:textId="77777777" w:rsidR="00116AFE" w:rsidRDefault="00116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997201"/>
      <w:docPartObj>
        <w:docPartGallery w:val="Page Numbers (Bottom of Page)"/>
        <w:docPartUnique/>
      </w:docPartObj>
    </w:sdtPr>
    <w:sdtEndPr>
      <w:rPr>
        <w:noProof/>
      </w:rPr>
    </w:sdtEndPr>
    <w:sdtContent>
      <w:p w14:paraId="3D271168" w14:textId="1D69C75F" w:rsidR="00C156E0" w:rsidRDefault="00C156E0">
        <w:pPr>
          <w:pStyle w:val="Footer"/>
          <w:jc w:val="right"/>
        </w:pPr>
        <w:r>
          <w:fldChar w:fldCharType="begin"/>
        </w:r>
        <w:r>
          <w:instrText xml:space="preserve"> PAGE   \* MERGEFORMAT </w:instrText>
        </w:r>
        <w:r>
          <w:fldChar w:fldCharType="separate"/>
        </w:r>
        <w:r w:rsidR="00F62378">
          <w:rPr>
            <w:noProof/>
          </w:rPr>
          <w:t>1</w:t>
        </w:r>
        <w:r>
          <w:rPr>
            <w:noProof/>
          </w:rPr>
          <w:fldChar w:fldCharType="end"/>
        </w:r>
      </w:p>
    </w:sdtContent>
  </w:sdt>
  <w:p w14:paraId="1ED3A2EB" w14:textId="77777777" w:rsidR="008C6FF3" w:rsidRDefault="008C6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140A" w14:textId="77777777" w:rsidR="00116AFE" w:rsidRDefault="0011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266AF" w14:textId="77777777" w:rsidR="004702D7" w:rsidRDefault="004702D7" w:rsidP="008C6FF3">
      <w:r>
        <w:separator/>
      </w:r>
    </w:p>
  </w:footnote>
  <w:footnote w:type="continuationSeparator" w:id="0">
    <w:p w14:paraId="7B6B8AF8" w14:textId="77777777" w:rsidR="004702D7" w:rsidRDefault="004702D7" w:rsidP="008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0460" w14:textId="77777777" w:rsidR="008C6FF3" w:rsidRDefault="008C6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A655" w14:textId="77777777" w:rsidR="008C6FF3" w:rsidRDefault="008C6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A787" w14:textId="77777777" w:rsidR="008C6FF3" w:rsidRDefault="008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5C"/>
    <w:multiLevelType w:val="hybridMultilevel"/>
    <w:tmpl w:val="CF60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20058"/>
    <w:multiLevelType w:val="hybridMultilevel"/>
    <w:tmpl w:val="4F42F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C38C8"/>
    <w:multiLevelType w:val="hybridMultilevel"/>
    <w:tmpl w:val="2E8A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32307"/>
    <w:multiLevelType w:val="hybridMultilevel"/>
    <w:tmpl w:val="10D4F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464C7A"/>
    <w:multiLevelType w:val="hybridMultilevel"/>
    <w:tmpl w:val="3F5AD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B3D56"/>
    <w:multiLevelType w:val="hybridMultilevel"/>
    <w:tmpl w:val="81C4D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1E1ED1"/>
    <w:multiLevelType w:val="hybridMultilevel"/>
    <w:tmpl w:val="BE4ABA5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C46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A95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50E09"/>
    <w:multiLevelType w:val="hybridMultilevel"/>
    <w:tmpl w:val="44CE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A34CB0"/>
    <w:multiLevelType w:val="hybridMultilevel"/>
    <w:tmpl w:val="87B48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D6388B"/>
    <w:multiLevelType w:val="hybridMultilevel"/>
    <w:tmpl w:val="C9D8EA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C6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7906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5E6E7E"/>
    <w:multiLevelType w:val="hybridMultilevel"/>
    <w:tmpl w:val="36585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0E37B0"/>
    <w:multiLevelType w:val="hybridMultilevel"/>
    <w:tmpl w:val="C444D6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422D6F"/>
    <w:multiLevelType w:val="hybridMultilevel"/>
    <w:tmpl w:val="6D32B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DE73F7"/>
    <w:multiLevelType w:val="hybridMultilevel"/>
    <w:tmpl w:val="1D406C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94837AB"/>
    <w:multiLevelType w:val="hybridMultilevel"/>
    <w:tmpl w:val="A1B6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2E2342"/>
    <w:multiLevelType w:val="hybridMultilevel"/>
    <w:tmpl w:val="AC2C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04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440A78"/>
    <w:multiLevelType w:val="hybridMultilevel"/>
    <w:tmpl w:val="C1F8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45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5110EA"/>
    <w:multiLevelType w:val="hybridMultilevel"/>
    <w:tmpl w:val="28A46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77A84"/>
    <w:multiLevelType w:val="hybridMultilevel"/>
    <w:tmpl w:val="EB92D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B155BF"/>
    <w:multiLevelType w:val="hybridMultilevel"/>
    <w:tmpl w:val="6DBA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156D8E"/>
    <w:multiLevelType w:val="hybridMultilevel"/>
    <w:tmpl w:val="390AC7D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3D54A8"/>
    <w:multiLevelType w:val="hybridMultilevel"/>
    <w:tmpl w:val="D3DE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B84428"/>
    <w:multiLevelType w:val="hybridMultilevel"/>
    <w:tmpl w:val="F9F83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0D4728"/>
    <w:multiLevelType w:val="hybridMultilevel"/>
    <w:tmpl w:val="320A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0F7A11"/>
    <w:multiLevelType w:val="hybridMultilevel"/>
    <w:tmpl w:val="679A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C05D6"/>
    <w:multiLevelType w:val="hybridMultilevel"/>
    <w:tmpl w:val="01F6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5C24CA"/>
    <w:multiLevelType w:val="hybridMultilevel"/>
    <w:tmpl w:val="1DE8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A0C6A"/>
    <w:multiLevelType w:val="hybridMultilevel"/>
    <w:tmpl w:val="DB8A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10CA6"/>
    <w:multiLevelType w:val="hybridMultilevel"/>
    <w:tmpl w:val="F6FA8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5077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F802E3"/>
    <w:multiLevelType w:val="hybridMultilevel"/>
    <w:tmpl w:val="E606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5512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A05465"/>
    <w:multiLevelType w:val="hybridMultilevel"/>
    <w:tmpl w:val="D264D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180D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C5647A"/>
    <w:multiLevelType w:val="hybridMultilevel"/>
    <w:tmpl w:val="B25292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293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13"/>
  </w:num>
  <w:num w:numId="4">
    <w:abstractNumId w:val="15"/>
  </w:num>
  <w:num w:numId="5">
    <w:abstractNumId w:val="0"/>
  </w:num>
  <w:num w:numId="6">
    <w:abstractNumId w:val="19"/>
  </w:num>
  <w:num w:numId="7">
    <w:abstractNumId w:val="1"/>
  </w:num>
  <w:num w:numId="8">
    <w:abstractNumId w:val="14"/>
  </w:num>
  <w:num w:numId="9">
    <w:abstractNumId w:val="28"/>
  </w:num>
  <w:num w:numId="10">
    <w:abstractNumId w:val="4"/>
  </w:num>
  <w:num w:numId="11">
    <w:abstractNumId w:val="10"/>
  </w:num>
  <w:num w:numId="12">
    <w:abstractNumId w:val="18"/>
  </w:num>
  <w:num w:numId="13">
    <w:abstractNumId w:val="33"/>
  </w:num>
  <w:num w:numId="14">
    <w:abstractNumId w:val="11"/>
  </w:num>
  <w:num w:numId="15">
    <w:abstractNumId w:val="8"/>
  </w:num>
  <w:num w:numId="16">
    <w:abstractNumId w:val="12"/>
  </w:num>
  <w:num w:numId="17">
    <w:abstractNumId w:val="41"/>
  </w:num>
  <w:num w:numId="18">
    <w:abstractNumId w:val="36"/>
  </w:num>
  <w:num w:numId="19">
    <w:abstractNumId w:val="37"/>
  </w:num>
  <w:num w:numId="20">
    <w:abstractNumId w:val="9"/>
  </w:num>
  <w:num w:numId="21">
    <w:abstractNumId w:val="39"/>
  </w:num>
  <w:num w:numId="22">
    <w:abstractNumId w:val="25"/>
  </w:num>
  <w:num w:numId="23">
    <w:abstractNumId w:val="38"/>
  </w:num>
  <w:num w:numId="24">
    <w:abstractNumId w:val="7"/>
  </w:num>
  <w:num w:numId="25">
    <w:abstractNumId w:val="5"/>
  </w:num>
  <w:num w:numId="26">
    <w:abstractNumId w:val="27"/>
  </w:num>
  <w:num w:numId="27">
    <w:abstractNumId w:val="23"/>
  </w:num>
  <w:num w:numId="28">
    <w:abstractNumId w:val="40"/>
  </w:num>
  <w:num w:numId="29">
    <w:abstractNumId w:val="2"/>
  </w:num>
  <w:num w:numId="30">
    <w:abstractNumId w:val="29"/>
  </w:num>
  <w:num w:numId="31">
    <w:abstractNumId w:val="22"/>
  </w:num>
  <w:num w:numId="32">
    <w:abstractNumId w:val="16"/>
  </w:num>
  <w:num w:numId="33">
    <w:abstractNumId w:val="20"/>
  </w:num>
  <w:num w:numId="34">
    <w:abstractNumId w:val="31"/>
  </w:num>
  <w:num w:numId="35">
    <w:abstractNumId w:val="6"/>
  </w:num>
  <w:num w:numId="36">
    <w:abstractNumId w:val="26"/>
  </w:num>
  <w:num w:numId="37">
    <w:abstractNumId w:val="35"/>
  </w:num>
  <w:num w:numId="38">
    <w:abstractNumId w:val="24"/>
  </w:num>
  <w:num w:numId="39">
    <w:abstractNumId w:val="34"/>
  </w:num>
  <w:num w:numId="40">
    <w:abstractNumId w:val="30"/>
  </w:num>
  <w:num w:numId="41">
    <w:abstractNumId w:val="21"/>
  </w:num>
  <w:num w:numId="42">
    <w:abstractNumId w:val="3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80640"/>
    <w:rsid w:val="00076DA5"/>
    <w:rsid w:val="00090309"/>
    <w:rsid w:val="000B4D11"/>
    <w:rsid w:val="000F4F68"/>
    <w:rsid w:val="00103BE2"/>
    <w:rsid w:val="00116AFE"/>
    <w:rsid w:val="0015432D"/>
    <w:rsid w:val="00160FFD"/>
    <w:rsid w:val="001C506D"/>
    <w:rsid w:val="002415F5"/>
    <w:rsid w:val="0024439C"/>
    <w:rsid w:val="00261E6F"/>
    <w:rsid w:val="00280640"/>
    <w:rsid w:val="00375209"/>
    <w:rsid w:val="003C4499"/>
    <w:rsid w:val="00411CA1"/>
    <w:rsid w:val="00425287"/>
    <w:rsid w:val="004468C8"/>
    <w:rsid w:val="004702D7"/>
    <w:rsid w:val="004B22F4"/>
    <w:rsid w:val="004B59A1"/>
    <w:rsid w:val="004F6743"/>
    <w:rsid w:val="00505CC1"/>
    <w:rsid w:val="00527656"/>
    <w:rsid w:val="00553A45"/>
    <w:rsid w:val="00567362"/>
    <w:rsid w:val="005A0261"/>
    <w:rsid w:val="005B782B"/>
    <w:rsid w:val="005E2813"/>
    <w:rsid w:val="00625EF5"/>
    <w:rsid w:val="00634338"/>
    <w:rsid w:val="0065728D"/>
    <w:rsid w:val="00706EBB"/>
    <w:rsid w:val="00763B51"/>
    <w:rsid w:val="00797288"/>
    <w:rsid w:val="007A2A5E"/>
    <w:rsid w:val="00827424"/>
    <w:rsid w:val="0083454D"/>
    <w:rsid w:val="008A0377"/>
    <w:rsid w:val="008A7896"/>
    <w:rsid w:val="008C5034"/>
    <w:rsid w:val="008C6FF3"/>
    <w:rsid w:val="008D0467"/>
    <w:rsid w:val="009021B3"/>
    <w:rsid w:val="009060CE"/>
    <w:rsid w:val="00913679"/>
    <w:rsid w:val="009174A2"/>
    <w:rsid w:val="00982CB3"/>
    <w:rsid w:val="009C5FDD"/>
    <w:rsid w:val="00A03039"/>
    <w:rsid w:val="00A05216"/>
    <w:rsid w:val="00A06B06"/>
    <w:rsid w:val="00A07431"/>
    <w:rsid w:val="00A23439"/>
    <w:rsid w:val="00A36441"/>
    <w:rsid w:val="00A55D96"/>
    <w:rsid w:val="00A561E9"/>
    <w:rsid w:val="00AF3F0A"/>
    <w:rsid w:val="00B02855"/>
    <w:rsid w:val="00B0687E"/>
    <w:rsid w:val="00B07205"/>
    <w:rsid w:val="00B140E3"/>
    <w:rsid w:val="00B23E2E"/>
    <w:rsid w:val="00B24E7B"/>
    <w:rsid w:val="00B74B60"/>
    <w:rsid w:val="00B83678"/>
    <w:rsid w:val="00B90A89"/>
    <w:rsid w:val="00BB0887"/>
    <w:rsid w:val="00BB1A6E"/>
    <w:rsid w:val="00BD4E0E"/>
    <w:rsid w:val="00C14190"/>
    <w:rsid w:val="00C156E0"/>
    <w:rsid w:val="00C22A8C"/>
    <w:rsid w:val="00C37E02"/>
    <w:rsid w:val="00D11866"/>
    <w:rsid w:val="00D63F16"/>
    <w:rsid w:val="00D70DA4"/>
    <w:rsid w:val="00D8289C"/>
    <w:rsid w:val="00D96CDA"/>
    <w:rsid w:val="00DC38A5"/>
    <w:rsid w:val="00DD0281"/>
    <w:rsid w:val="00E74034"/>
    <w:rsid w:val="00EA4423"/>
    <w:rsid w:val="00EC13C4"/>
    <w:rsid w:val="00ED1B4A"/>
    <w:rsid w:val="00F077FC"/>
    <w:rsid w:val="00F2244B"/>
    <w:rsid w:val="00F25825"/>
    <w:rsid w:val="00F313D6"/>
    <w:rsid w:val="00F3393C"/>
    <w:rsid w:val="00F5711B"/>
    <w:rsid w:val="00F62378"/>
    <w:rsid w:val="00FD0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5D4FE"/>
  <w15:docId w15:val="{4B1F1F44-093C-4EF3-8BF0-75748032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0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060CE"/>
    <w:pPr>
      <w:autoSpaceDE w:val="0"/>
      <w:autoSpaceDN w:val="0"/>
    </w:pPr>
    <w:rPr>
      <w:rFonts w:ascii="Verdana" w:hAnsi="Verdana"/>
      <w:color w:val="000000"/>
      <w:sz w:val="24"/>
      <w:szCs w:val="24"/>
    </w:rPr>
  </w:style>
  <w:style w:type="paragraph" w:styleId="ListParagraph">
    <w:name w:val="List Paragraph"/>
    <w:aliases w:val="Liste 1,List Bullet Mary,List Paragraph (numbered (a)),Indent Paragraph,Bullets,Numbered List Paragraph,Colorful List - Accent 11,References,body bullets,LIST OF TABLES.,List Paragraph1,WB List Paragraph,List Paragraph nowy"/>
    <w:basedOn w:val="Normal"/>
    <w:link w:val="ListParagraphChar"/>
    <w:uiPriority w:val="34"/>
    <w:qFormat/>
    <w:rsid w:val="00505CC1"/>
    <w:pPr>
      <w:ind w:left="720"/>
      <w:contextualSpacing/>
    </w:pPr>
  </w:style>
  <w:style w:type="paragraph" w:styleId="Header">
    <w:name w:val="header"/>
    <w:basedOn w:val="Normal"/>
    <w:link w:val="HeaderChar"/>
    <w:uiPriority w:val="99"/>
    <w:unhideWhenUsed/>
    <w:rsid w:val="008C6FF3"/>
    <w:pPr>
      <w:tabs>
        <w:tab w:val="center" w:pos="4680"/>
        <w:tab w:val="right" w:pos="9360"/>
      </w:tabs>
    </w:pPr>
  </w:style>
  <w:style w:type="character" w:customStyle="1" w:styleId="HeaderChar">
    <w:name w:val="Header Char"/>
    <w:basedOn w:val="DefaultParagraphFont"/>
    <w:link w:val="Header"/>
    <w:uiPriority w:val="99"/>
    <w:rsid w:val="008C6FF3"/>
    <w:rPr>
      <w:rFonts w:ascii="Calibri" w:hAnsi="Calibri" w:cs="Times New Roman"/>
    </w:rPr>
  </w:style>
  <w:style w:type="paragraph" w:styleId="Footer">
    <w:name w:val="footer"/>
    <w:basedOn w:val="Normal"/>
    <w:link w:val="FooterChar"/>
    <w:uiPriority w:val="99"/>
    <w:unhideWhenUsed/>
    <w:rsid w:val="008C6FF3"/>
    <w:pPr>
      <w:tabs>
        <w:tab w:val="center" w:pos="4680"/>
        <w:tab w:val="right" w:pos="9360"/>
      </w:tabs>
    </w:pPr>
  </w:style>
  <w:style w:type="character" w:customStyle="1" w:styleId="FooterChar">
    <w:name w:val="Footer Char"/>
    <w:basedOn w:val="DefaultParagraphFont"/>
    <w:link w:val="Footer"/>
    <w:uiPriority w:val="99"/>
    <w:rsid w:val="008C6FF3"/>
    <w:rPr>
      <w:rFonts w:ascii="Calibri" w:hAnsi="Calibri" w:cs="Times New Roman"/>
    </w:rPr>
  </w:style>
  <w:style w:type="character" w:customStyle="1" w:styleId="ListParagraphChar">
    <w:name w:val="List Paragraph Char"/>
    <w:aliases w:val="Liste 1 Char,List Bullet Mary Char,List Paragraph (numbered (a)) Char,Indent Paragraph Char,Bullets Char,Numbered List Paragraph Char,Colorful List - Accent 11 Char,References Char,body bullets Char,LIST OF TABLES. Char"/>
    <w:basedOn w:val="DefaultParagraphFont"/>
    <w:link w:val="ListParagraph"/>
    <w:uiPriority w:val="34"/>
    <w:locked/>
    <w:rsid w:val="00B140E3"/>
    <w:rPr>
      <w:rFonts w:ascii="Calibri" w:hAnsi="Calibri" w:cs="Times New Roman"/>
    </w:rPr>
  </w:style>
  <w:style w:type="paragraph" w:styleId="BalloonText">
    <w:name w:val="Balloon Text"/>
    <w:basedOn w:val="Normal"/>
    <w:link w:val="BalloonTextChar"/>
    <w:uiPriority w:val="99"/>
    <w:semiHidden/>
    <w:unhideWhenUsed/>
    <w:rsid w:val="00C156E0"/>
    <w:rPr>
      <w:rFonts w:ascii="Tahoma" w:hAnsi="Tahoma" w:cs="Tahoma"/>
      <w:sz w:val="16"/>
      <w:szCs w:val="16"/>
    </w:rPr>
  </w:style>
  <w:style w:type="character" w:customStyle="1" w:styleId="BalloonTextChar">
    <w:name w:val="Balloon Text Char"/>
    <w:basedOn w:val="DefaultParagraphFont"/>
    <w:link w:val="BalloonText"/>
    <w:uiPriority w:val="99"/>
    <w:semiHidden/>
    <w:rsid w:val="00C156E0"/>
    <w:rPr>
      <w:rFonts w:ascii="Tahoma" w:hAnsi="Tahoma" w:cs="Tahoma"/>
      <w:sz w:val="16"/>
      <w:szCs w:val="16"/>
    </w:rPr>
  </w:style>
  <w:style w:type="character" w:styleId="CommentReference">
    <w:name w:val="annotation reference"/>
    <w:basedOn w:val="DefaultParagraphFont"/>
    <w:uiPriority w:val="99"/>
    <w:semiHidden/>
    <w:unhideWhenUsed/>
    <w:rsid w:val="0083454D"/>
    <w:rPr>
      <w:sz w:val="16"/>
      <w:szCs w:val="16"/>
    </w:rPr>
  </w:style>
  <w:style w:type="paragraph" w:styleId="CommentText">
    <w:name w:val="annotation text"/>
    <w:basedOn w:val="Normal"/>
    <w:link w:val="CommentTextChar"/>
    <w:uiPriority w:val="99"/>
    <w:unhideWhenUsed/>
    <w:rsid w:val="0083454D"/>
    <w:rPr>
      <w:sz w:val="20"/>
      <w:szCs w:val="20"/>
    </w:rPr>
  </w:style>
  <w:style w:type="character" w:customStyle="1" w:styleId="CommentTextChar">
    <w:name w:val="Comment Text Char"/>
    <w:basedOn w:val="DefaultParagraphFont"/>
    <w:link w:val="CommentText"/>
    <w:uiPriority w:val="99"/>
    <w:rsid w:val="0083454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454D"/>
    <w:rPr>
      <w:b/>
      <w:bCs/>
    </w:rPr>
  </w:style>
  <w:style w:type="character" w:customStyle="1" w:styleId="CommentSubjectChar">
    <w:name w:val="Comment Subject Char"/>
    <w:basedOn w:val="CommentTextChar"/>
    <w:link w:val="CommentSubject"/>
    <w:uiPriority w:val="99"/>
    <w:semiHidden/>
    <w:rsid w:val="0083454D"/>
    <w:rPr>
      <w:rFonts w:ascii="Calibri" w:hAnsi="Calibri" w:cs="Times New Roman"/>
      <w:b/>
      <w:bCs/>
      <w:sz w:val="20"/>
      <w:szCs w:val="20"/>
    </w:rPr>
  </w:style>
  <w:style w:type="paragraph" w:styleId="FootnoteText">
    <w:name w:val="footnote text"/>
    <w:basedOn w:val="Normal"/>
    <w:link w:val="FootnoteTextChar"/>
    <w:uiPriority w:val="99"/>
    <w:semiHidden/>
    <w:unhideWhenUsed/>
    <w:rsid w:val="00B23E2E"/>
    <w:rPr>
      <w:sz w:val="20"/>
      <w:szCs w:val="20"/>
    </w:rPr>
  </w:style>
  <w:style w:type="character" w:customStyle="1" w:styleId="FootnoteTextChar">
    <w:name w:val="Footnote Text Char"/>
    <w:basedOn w:val="DefaultParagraphFont"/>
    <w:link w:val="FootnoteText"/>
    <w:uiPriority w:val="99"/>
    <w:semiHidden/>
    <w:rsid w:val="00B23E2E"/>
    <w:rPr>
      <w:rFonts w:ascii="Calibri" w:hAnsi="Calibri" w:cs="Times New Roman"/>
      <w:sz w:val="20"/>
      <w:szCs w:val="20"/>
    </w:rPr>
  </w:style>
  <w:style w:type="character" w:styleId="FootnoteReference">
    <w:name w:val="footnote reference"/>
    <w:basedOn w:val="DefaultParagraphFont"/>
    <w:uiPriority w:val="99"/>
    <w:semiHidden/>
    <w:unhideWhenUsed/>
    <w:rsid w:val="00B23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eate a new document." ma:contentTypeScope="" ma:versionID="194893739f9cf8c03ae95e02ebd9a4c4">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5b4141196da17e620d4ce624d82c27e8"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unding agreed for April 20 - March 21"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documentManagement>
</p:properties>
</file>

<file path=customXml/itemProps1.xml><?xml version="1.0" encoding="utf-8"?>
<ds:datastoreItem xmlns:ds="http://schemas.openxmlformats.org/officeDocument/2006/customXml" ds:itemID="{C8E084A6-4242-46FB-A47D-528EB91ECBC5}">
  <ds:schemaRefs>
    <ds:schemaRef ds:uri="http://schemas.openxmlformats.org/officeDocument/2006/bibliography"/>
  </ds:schemaRefs>
</ds:datastoreItem>
</file>

<file path=customXml/itemProps2.xml><?xml version="1.0" encoding="utf-8"?>
<ds:datastoreItem xmlns:ds="http://schemas.openxmlformats.org/officeDocument/2006/customXml" ds:itemID="{7BA63ABC-31AF-4251-B657-2B5E8E2D4255}"/>
</file>

<file path=customXml/itemProps3.xml><?xml version="1.0" encoding="utf-8"?>
<ds:datastoreItem xmlns:ds="http://schemas.openxmlformats.org/officeDocument/2006/customXml" ds:itemID="{3FF6A0F1-8631-40E6-9068-FE3DC2C66BB5}"/>
</file>

<file path=customXml/itemProps4.xml><?xml version="1.0" encoding="utf-8"?>
<ds:datastoreItem xmlns:ds="http://schemas.openxmlformats.org/officeDocument/2006/customXml" ds:itemID="{E342892D-E3E3-4170-ADD7-C34088D76FDA}"/>
</file>

<file path=docProps/app.xml><?xml version="1.0" encoding="utf-8"?>
<Properties xmlns="http://schemas.openxmlformats.org/officeDocument/2006/extended-properties" xmlns:vt="http://schemas.openxmlformats.org/officeDocument/2006/docPropsVTypes">
  <Template>Normal.dotm</Template>
  <TotalTime>24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GALLO Quentin</dc:creator>
  <cp:lastModifiedBy>DJURFELDT Anders (EEAS-NAIROBI)</cp:lastModifiedBy>
  <cp:revision>3</cp:revision>
  <cp:lastPrinted>2018-03-12T12:06:00Z</cp:lastPrinted>
  <dcterms:created xsi:type="dcterms:W3CDTF">2021-05-12T11:27:00Z</dcterms:created>
  <dcterms:modified xsi:type="dcterms:W3CDTF">2021-05-12T11:58:00Z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