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A2E2" w14:textId="77777777" w:rsidR="00D41010" w:rsidRPr="00FC54FE" w:rsidRDefault="00D41010" w:rsidP="00D41010">
      <w:pPr>
        <w:ind w:left="-540"/>
      </w:pPr>
      <w:r w:rsidRPr="420527C3">
        <w:rPr>
          <w:b/>
          <w:bCs/>
        </w:rPr>
        <w:t>Objective of Country Summaries:</w:t>
      </w:r>
      <w:r>
        <w:t xml:space="preserve"> There is wide recognition by the donor community and aid organizations that delivering cash through, or in coordination with, national social protection systems (where appropriate and feasible) can reduce duplication, fragmentation and gaps and increase coverage, </w:t>
      </w:r>
      <w:proofErr w:type="gramStart"/>
      <w:r>
        <w:t>inclusion</w:t>
      </w:r>
      <w:proofErr w:type="gramEnd"/>
      <w:r>
        <w:t xml:space="preserve"> and government capacity. In line with the Grand Bargain Sub-Group on Linking Humanitarian Cash and Social Protection’s role in advocacy and fostering information sharing, the objective of these country summaries by CALP is to provide practitioners with a concise overview of the country context and practical approaches taken by humanitarian actors to create linkages or increase coherence with national systems (where they exist) and/or to show how CVA responses have been instrumental in influencing and/or building social protection system in countries where these are absent. </w:t>
      </w:r>
    </w:p>
    <w:p w14:paraId="495FA832" w14:textId="0CD114CF" w:rsidR="00D41010" w:rsidRDefault="00D41010" w:rsidP="00D41010">
      <w:pPr>
        <w:ind w:left="-540"/>
      </w:pPr>
      <w:r>
        <w:t xml:space="preserve">The country summaries include critical information for practitioners to understand and navigate the CVA and SP landscape (outlined in the template below), such as </w:t>
      </w:r>
      <w:r w:rsidRPr="004D5D57">
        <w:t xml:space="preserve">how </w:t>
      </w:r>
      <w:r>
        <w:t xml:space="preserve">the </w:t>
      </w:r>
      <w:r w:rsidRPr="004D5D57">
        <w:t>social protection system</w:t>
      </w:r>
      <w:r>
        <w:t xml:space="preserve"> is</w:t>
      </w:r>
      <w:r w:rsidRPr="004D5D57">
        <w:t xml:space="preserve"> functioning, who</w:t>
      </w:r>
      <w:r>
        <w:t xml:space="preserve"> is targeted</w:t>
      </w:r>
      <w:r w:rsidRPr="004D5D57">
        <w:t>, examples of these systems being linked to humanitarian assistance, and opportunities/entry points for potential engagement.</w:t>
      </w:r>
      <w:r>
        <w:t xml:space="preserve"> While directly linking to national systems may not be appropriate in all contexts, it is important to consider linkages in each context. </w:t>
      </w:r>
    </w:p>
    <w:p w14:paraId="3A5DF152" w14:textId="4C1812C7" w:rsidR="00344176" w:rsidRDefault="00D41010" w:rsidP="00640343">
      <w:pPr>
        <w:ind w:left="-540"/>
      </w:pPr>
      <w:r>
        <w:rPr>
          <w:noProof/>
        </w:rPr>
        <mc:AlternateContent>
          <mc:Choice Requires="wps">
            <w:drawing>
              <wp:anchor distT="0" distB="0" distL="114300" distR="114300" simplePos="0" relativeHeight="251659264" behindDoc="1" locked="0" layoutInCell="1" allowOverlap="1" wp14:anchorId="69681B66" wp14:editId="16CC397A">
                <wp:simplePos x="0" y="0"/>
                <wp:positionH relativeFrom="column">
                  <wp:posOffset>-900112</wp:posOffset>
                </wp:positionH>
                <wp:positionV relativeFrom="paragraph">
                  <wp:posOffset>48578</wp:posOffset>
                </wp:positionV>
                <wp:extent cx="7740650" cy="1248727"/>
                <wp:effectExtent l="0" t="0" r="19050" b="8890"/>
                <wp:wrapNone/>
                <wp:docPr id="1" name="Rectangle 1"/>
                <wp:cNvGraphicFramePr/>
                <a:graphic xmlns:a="http://schemas.openxmlformats.org/drawingml/2006/main">
                  <a:graphicData uri="http://schemas.microsoft.com/office/word/2010/wordprocessingShape">
                    <wps:wsp>
                      <wps:cNvSpPr/>
                      <wps:spPr>
                        <a:xfrm>
                          <a:off x="0" y="0"/>
                          <a:ext cx="7740650" cy="1248727"/>
                        </a:xfrm>
                        <a:prstGeom prst="rect">
                          <a:avLst/>
                        </a:prstGeom>
                        <a:solidFill>
                          <a:srgbClr val="B8272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35017" id="Rectangle 1" o:spid="_x0000_s1026" style="position:absolute;margin-left:-70.85pt;margin-top:3.85pt;width:609.5pt;height:98.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GM2jAIAAG4FAAAOAAAAZHJzL2Uyb0RvYy54bWysVN9P2zAQfp+0/8Hy+0gaFQoVKepATJMQ&#13;&#10;IGDi2XXsJpLj885u0+6v39lJQ8XQHqb1wb3L3X33w9/58mrXGrZV6BuwJZ+c5JwpK6Fq7LrkP15u&#13;&#10;v5xz5oOwlTBgVcn3yvOrxedPl52bqwJqMJVCRiDWzztX8joEN88yL2vVCn8CTlkyasBWBFJxnVUo&#13;&#10;OkJvTVbk+VnWAVYOQSrv6etNb+SLhK+1kuFBa68CMyWn2kI6MZ2reGaLSzFfo3B1I4cyxD9U0YrG&#13;&#10;UtIR6kYEwTbY/AHVNhLBgw4nEtoMtG6kSj1QN5P8XTfPtXAq9ULD8W4ck/9/sPJ++4isqejuOLOi&#13;&#10;pSt6oqEJuzaKTeJ4Oufn5PXsHnHQPImx153GNv5TF2yXRrofR6p2gUn6OJtN87NTmrwk26SYns+K&#13;&#10;WUTN3sId+vBNQcuiUHKk9GmUYnvnQ+96cInZPJimum2MSQquV9cG2VbQ/X49L2bFckA/cstiC33R&#13;&#10;SQp7o2KwsU9KU+9UZpEyJtapEU9IqWyY9KZaVKpPc5rT75Al8jRGpI4SYETWVN6IPQAcPHuQA3bf&#13;&#10;3+AfQ1Ui7Ric/62wPniMSJnBhjG4bSzgRwCGuhoy9/5U/tFooriCak/MQOhXxjt529D93AkfHgXS&#13;&#10;jtCd0t6HBzq0ga7kMEic1YC/Pvoe/Ym6ZOWso50ruf+5Eag4M98tkfpiMp3GJU3K9HRWkILHltWx&#13;&#10;xW7aa6BrJ+JSdUmM/sEcRI3QvtLzsIxZySSspNwllwEPynXo3wJ6YKRaLpMbLaYT4c4+OxnB41Qj&#13;&#10;/152rwLdQNJA/L6Hw36K+Tuu9r4x0sJyE0A3ichvcx3mTUudiDM8QPHVONaT19szufgNAAD//wMA&#13;&#10;UEsDBBQABgAIAAAAIQDdxkv34wAAABABAAAPAAAAZHJzL2Rvd25yZXYueG1sTE89b8IwEN0r9T9Y&#13;&#10;h9SlAjuAmijEQZSqUlfSDh2d+EgiYjuKHQj8+h5TWe50eu/eR7adTMfOOPjWWQnRQgBDWznd2lrC&#13;&#10;z/fnPAHmg7Jadc6ihCt62ObPT5lKtbvYA56LUDMSsT5VEpoQ+pRzXzVolF+4Hi1hRzcYFegcaq4H&#13;&#10;dSFx0/GlEG/cqNaSQ6N63DdYnYrRSPgtr/tEv+vkVuwON/068i9VHKV8mU0fGxq7DbCAU/j/gHsH&#13;&#10;yg85BSvdaLVnnYR5tI5i4kqIad0JIo5XwEoJS7FeAc8z/lgk/wMAAP//AwBQSwECLQAUAAYACAAA&#13;&#10;ACEAtoM4kv4AAADhAQAAEwAAAAAAAAAAAAAAAAAAAAAAW0NvbnRlbnRfVHlwZXNdLnhtbFBLAQIt&#13;&#10;ABQABgAIAAAAIQA4/SH/1gAAAJQBAAALAAAAAAAAAAAAAAAAAC8BAABfcmVscy8ucmVsc1BLAQIt&#13;&#10;ABQABgAIAAAAIQCJaGM2jAIAAG4FAAAOAAAAAAAAAAAAAAAAAC4CAABkcnMvZTJvRG9jLnhtbFBL&#13;&#10;AQItABQABgAIAAAAIQDdxkv34wAAABABAAAPAAAAAAAAAAAAAAAAAOYEAABkcnMvZG93bnJldi54&#13;&#10;bWxQSwUGAAAAAAQABADzAAAA9gUAAAAA&#13;&#10;" fillcolor="#b8272a" strokecolor="#1f3763 [1604]" strokeweight="1pt"/>
            </w:pict>
          </mc:Fallback>
        </mc:AlternateContent>
      </w:r>
    </w:p>
    <w:tbl>
      <w:tblPr>
        <w:tblStyle w:val="TableGrid"/>
        <w:tblW w:w="1088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7"/>
        <w:gridCol w:w="2458"/>
      </w:tblGrid>
      <w:tr w:rsidR="003661B9" w14:paraId="1D4C1D96" w14:textId="6831D31F" w:rsidTr="003661B9">
        <w:trPr>
          <w:trHeight w:val="1215"/>
        </w:trPr>
        <w:tc>
          <w:tcPr>
            <w:tcW w:w="8427" w:type="dxa"/>
          </w:tcPr>
          <w:p w14:paraId="4A77B210" w14:textId="1D86728C" w:rsidR="003661B9" w:rsidRPr="006E7F6D" w:rsidRDefault="003661B9" w:rsidP="004D5D57">
            <w:pPr>
              <w:rPr>
                <w:b/>
                <w:bCs/>
                <w:color w:val="FFFFFF" w:themeColor="background1"/>
                <w:sz w:val="28"/>
                <w:szCs w:val="28"/>
              </w:rPr>
            </w:pPr>
            <w:r w:rsidRPr="006E7F6D">
              <w:rPr>
                <w:b/>
                <w:bCs/>
                <w:color w:val="FFFFFF" w:themeColor="background1"/>
                <w:sz w:val="28"/>
                <w:szCs w:val="28"/>
              </w:rPr>
              <w:t xml:space="preserve">Linking CVA and Social Protection </w:t>
            </w:r>
          </w:p>
          <w:p w14:paraId="6CF6EE25" w14:textId="77777777" w:rsidR="003661B9" w:rsidRPr="006E7F6D" w:rsidRDefault="003661B9" w:rsidP="004D5D57">
            <w:pPr>
              <w:rPr>
                <w:b/>
                <w:bCs/>
                <w:color w:val="FFFFFF" w:themeColor="background1"/>
                <w:sz w:val="68"/>
                <w:szCs w:val="68"/>
              </w:rPr>
            </w:pPr>
            <w:r w:rsidRPr="006E7F6D">
              <w:rPr>
                <w:b/>
                <w:bCs/>
                <w:color w:val="FFFFFF" w:themeColor="background1"/>
                <w:sz w:val="68"/>
                <w:szCs w:val="68"/>
              </w:rPr>
              <w:t>Country Name</w:t>
            </w:r>
          </w:p>
          <w:p w14:paraId="581AF594" w14:textId="5735845A" w:rsidR="003661B9" w:rsidRPr="00F810B6" w:rsidRDefault="003661B9" w:rsidP="00F810B6">
            <w:pPr>
              <w:spacing w:after="200"/>
              <w:rPr>
                <w:b/>
                <w:bCs/>
                <w:color w:val="FFFFFF" w:themeColor="background1"/>
                <w:sz w:val="24"/>
                <w:szCs w:val="24"/>
              </w:rPr>
            </w:pPr>
            <w:r w:rsidRPr="006E7F6D">
              <w:rPr>
                <w:b/>
                <w:bCs/>
                <w:color w:val="FFFFFF" w:themeColor="background1"/>
                <w:sz w:val="24"/>
                <w:szCs w:val="24"/>
              </w:rPr>
              <w:t>Month, Year</w:t>
            </w:r>
          </w:p>
        </w:tc>
        <w:tc>
          <w:tcPr>
            <w:tcW w:w="2458" w:type="dxa"/>
          </w:tcPr>
          <w:p w14:paraId="5A7D2DF8" w14:textId="23A84F21" w:rsidR="003661B9" w:rsidRPr="006E7F6D" w:rsidRDefault="003661B9" w:rsidP="003661B9">
            <w:pPr>
              <w:jc w:val="right"/>
              <w:rPr>
                <w:b/>
                <w:bCs/>
                <w:color w:val="FFFFFF" w:themeColor="background1"/>
                <w:sz w:val="28"/>
                <w:szCs w:val="28"/>
              </w:rPr>
            </w:pPr>
            <w:r w:rsidRPr="003661B9">
              <w:rPr>
                <w:b/>
                <w:bCs/>
                <w:noProof/>
                <w:color w:val="FFFFFF" w:themeColor="background1"/>
                <w:sz w:val="28"/>
                <w:szCs w:val="28"/>
              </w:rPr>
              <w:drawing>
                <wp:inline distT="0" distB="0" distL="0" distR="0" wp14:anchorId="0AF0692D" wp14:editId="43FFA210">
                  <wp:extent cx="1346200" cy="62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6200" cy="622300"/>
                          </a:xfrm>
                          <a:prstGeom prst="rect">
                            <a:avLst/>
                          </a:prstGeom>
                        </pic:spPr>
                      </pic:pic>
                    </a:graphicData>
                  </a:graphic>
                </wp:inline>
              </w:drawing>
            </w:r>
          </w:p>
        </w:tc>
      </w:tr>
      <w:tr w:rsidR="003661B9" w14:paraId="1A5871B0" w14:textId="0F59578B" w:rsidTr="003661B9">
        <w:trPr>
          <w:trHeight w:val="450"/>
        </w:trPr>
        <w:tc>
          <w:tcPr>
            <w:tcW w:w="10885" w:type="dxa"/>
            <w:gridSpan w:val="2"/>
          </w:tcPr>
          <w:p w14:paraId="718017CE" w14:textId="28388A15" w:rsidR="003661B9" w:rsidRPr="006E7F6D" w:rsidRDefault="003661B9" w:rsidP="004D5D57">
            <w:pPr>
              <w:rPr>
                <w:color w:val="000000" w:themeColor="text1"/>
                <w:sz w:val="20"/>
                <w:szCs w:val="20"/>
              </w:rPr>
            </w:pPr>
            <w:r w:rsidRPr="006E7F6D">
              <w:rPr>
                <w:color w:val="000000" w:themeColor="text1"/>
                <w:sz w:val="20"/>
                <w:szCs w:val="20"/>
              </w:rPr>
              <w:t xml:space="preserve">This country summary is part of a larger </w:t>
            </w:r>
            <w:hyperlink r:id="rId12" w:history="1">
              <w:r w:rsidRPr="006E7F6D">
                <w:rPr>
                  <w:rStyle w:val="Hyperlink"/>
                  <w:color w:val="000000" w:themeColor="text1"/>
                  <w:sz w:val="20"/>
                  <w:szCs w:val="20"/>
                </w:rPr>
                <w:t>resource set</w:t>
              </w:r>
            </w:hyperlink>
            <w:r w:rsidRPr="006E7F6D">
              <w:rPr>
                <w:color w:val="000000" w:themeColor="text1"/>
                <w:sz w:val="20"/>
                <w:szCs w:val="20"/>
              </w:rPr>
              <w:t xml:space="preserve"> providing practitioners with examples of the different approaches taken to link CVA and social protection.</w:t>
            </w:r>
          </w:p>
        </w:tc>
      </w:tr>
    </w:tbl>
    <w:p w14:paraId="72EA97AE" w14:textId="77777777" w:rsidR="006E7F6D" w:rsidRDefault="006E7F6D" w:rsidP="006E7F6D">
      <w:pPr>
        <w:spacing w:after="0" w:line="240" w:lineRule="auto"/>
      </w:pPr>
    </w:p>
    <w:tbl>
      <w:tblPr>
        <w:tblStyle w:val="TableGrid"/>
        <w:tblW w:w="10890" w:type="dxa"/>
        <w:tblInd w:w="-63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74"/>
        <w:gridCol w:w="4038"/>
        <w:gridCol w:w="5078"/>
      </w:tblGrid>
      <w:tr w:rsidR="00344176" w14:paraId="088A8EF6" w14:textId="77777777" w:rsidTr="003661B9">
        <w:trPr>
          <w:trHeight w:val="170"/>
        </w:trPr>
        <w:tc>
          <w:tcPr>
            <w:tcW w:w="10890" w:type="dxa"/>
            <w:gridSpan w:val="3"/>
            <w:shd w:val="clear" w:color="auto" w:fill="22A8B0"/>
          </w:tcPr>
          <w:p w14:paraId="0C17CFC6" w14:textId="0FD18016" w:rsidR="00344176" w:rsidRPr="00E968EB" w:rsidRDefault="00E968EB" w:rsidP="004D5D57">
            <w:pPr>
              <w:rPr>
                <w:color w:val="FFFFFF" w:themeColor="background1"/>
              </w:rPr>
            </w:pPr>
            <w:r w:rsidRPr="00E968EB">
              <w:rPr>
                <w:color w:val="FFFFFF" w:themeColor="background1"/>
              </w:rPr>
              <w:t xml:space="preserve">OVERVIEW </w:t>
            </w:r>
          </w:p>
        </w:tc>
      </w:tr>
      <w:tr w:rsidR="00344176" w14:paraId="3744EE4E" w14:textId="77777777" w:rsidTr="003661B9">
        <w:trPr>
          <w:trHeight w:val="710"/>
        </w:trPr>
        <w:tc>
          <w:tcPr>
            <w:tcW w:w="1774" w:type="dxa"/>
            <w:shd w:val="clear" w:color="auto" w:fill="D4E9E8"/>
          </w:tcPr>
          <w:p w14:paraId="469B3767" w14:textId="51589EFA" w:rsidR="00344176" w:rsidRPr="00BC2206" w:rsidRDefault="00344176" w:rsidP="004D5D57">
            <w:r w:rsidRPr="00BC2206">
              <w:rPr>
                <w:sz w:val="20"/>
                <w:szCs w:val="20"/>
              </w:rPr>
              <w:t>Emergency Context</w:t>
            </w:r>
          </w:p>
        </w:tc>
        <w:tc>
          <w:tcPr>
            <w:tcW w:w="9116" w:type="dxa"/>
            <w:gridSpan w:val="2"/>
            <w:shd w:val="clear" w:color="auto" w:fill="D4E9E8"/>
          </w:tcPr>
          <w:p w14:paraId="4BA9418F" w14:textId="5542517C" w:rsidR="00344176" w:rsidRPr="00BC2206" w:rsidRDefault="00FC54FE" w:rsidP="004D5D57">
            <w:pPr>
              <w:rPr>
                <w:i/>
                <w:iCs/>
                <w:sz w:val="20"/>
                <w:szCs w:val="20"/>
              </w:rPr>
            </w:pPr>
            <w:r>
              <w:rPr>
                <w:i/>
                <w:iCs/>
                <w:sz w:val="20"/>
                <w:szCs w:val="20"/>
              </w:rPr>
              <w:t>In bullets, provide a b</w:t>
            </w:r>
            <w:r w:rsidR="00344176" w:rsidRPr="00BC2206">
              <w:rPr>
                <w:i/>
                <w:iCs/>
                <w:sz w:val="20"/>
                <w:szCs w:val="20"/>
              </w:rPr>
              <w:t xml:space="preserve">rief overview of the different risk factors and emergencies </w:t>
            </w:r>
            <w:r w:rsidR="00BC2206" w:rsidRPr="00BC2206">
              <w:rPr>
                <w:i/>
                <w:iCs/>
                <w:sz w:val="20"/>
                <w:szCs w:val="20"/>
              </w:rPr>
              <w:t xml:space="preserve">affecting </w:t>
            </w:r>
            <w:r w:rsidR="00344176" w:rsidRPr="00BC2206">
              <w:rPr>
                <w:i/>
                <w:iCs/>
                <w:sz w:val="20"/>
                <w:szCs w:val="20"/>
              </w:rPr>
              <w:t>the country</w:t>
            </w:r>
            <w:r w:rsidR="00BC2206" w:rsidRPr="00BC2206">
              <w:rPr>
                <w:i/>
                <w:iCs/>
                <w:sz w:val="20"/>
                <w:szCs w:val="20"/>
              </w:rPr>
              <w:t xml:space="preserve"> and the impact on poverty, </w:t>
            </w:r>
            <w:proofErr w:type="gramStart"/>
            <w:r w:rsidR="00BC2206" w:rsidRPr="00BC2206">
              <w:rPr>
                <w:i/>
                <w:iCs/>
                <w:sz w:val="20"/>
                <w:szCs w:val="20"/>
              </w:rPr>
              <w:t>livelihoods</w:t>
            </w:r>
            <w:proofErr w:type="gramEnd"/>
            <w:r w:rsidR="00BC2206" w:rsidRPr="00BC2206">
              <w:rPr>
                <w:i/>
                <w:iCs/>
                <w:sz w:val="20"/>
                <w:szCs w:val="20"/>
              </w:rPr>
              <w:t xml:space="preserve"> and access to services</w:t>
            </w:r>
            <w:r w:rsidR="00344176" w:rsidRPr="00BC2206">
              <w:rPr>
                <w:i/>
                <w:iCs/>
                <w:sz w:val="20"/>
                <w:szCs w:val="20"/>
              </w:rPr>
              <w:t xml:space="preserve">.   </w:t>
            </w:r>
          </w:p>
        </w:tc>
      </w:tr>
      <w:tr w:rsidR="00344176" w14:paraId="2FAB358D" w14:textId="77777777" w:rsidTr="003661B9">
        <w:trPr>
          <w:trHeight w:val="710"/>
        </w:trPr>
        <w:tc>
          <w:tcPr>
            <w:tcW w:w="1774" w:type="dxa"/>
            <w:shd w:val="clear" w:color="auto" w:fill="D4E9E8"/>
          </w:tcPr>
          <w:p w14:paraId="6A76FAA1" w14:textId="77777777" w:rsidR="00344176" w:rsidRPr="00BC2206" w:rsidRDefault="00344176" w:rsidP="004D5D57">
            <w:pPr>
              <w:rPr>
                <w:sz w:val="20"/>
                <w:szCs w:val="20"/>
              </w:rPr>
            </w:pPr>
            <w:r w:rsidRPr="00BC2206">
              <w:rPr>
                <w:sz w:val="20"/>
                <w:szCs w:val="20"/>
              </w:rPr>
              <w:t>Social Protection Context</w:t>
            </w:r>
          </w:p>
          <w:p w14:paraId="7179D996" w14:textId="77777777" w:rsidR="00344176" w:rsidRPr="00BC2206" w:rsidRDefault="00344176" w:rsidP="004D5D57">
            <w:pPr>
              <w:rPr>
                <w:sz w:val="20"/>
                <w:szCs w:val="20"/>
              </w:rPr>
            </w:pPr>
          </w:p>
        </w:tc>
        <w:tc>
          <w:tcPr>
            <w:tcW w:w="9116" w:type="dxa"/>
            <w:gridSpan w:val="2"/>
            <w:shd w:val="clear" w:color="auto" w:fill="D4E9E8"/>
          </w:tcPr>
          <w:p w14:paraId="6A9D4D4B" w14:textId="1D22AF07" w:rsidR="00344176" w:rsidRPr="00BC2206" w:rsidRDefault="00FC54FE" w:rsidP="004D5D57">
            <w:pPr>
              <w:rPr>
                <w:i/>
                <w:iCs/>
                <w:sz w:val="20"/>
                <w:szCs w:val="20"/>
              </w:rPr>
            </w:pPr>
            <w:r>
              <w:rPr>
                <w:i/>
                <w:iCs/>
                <w:sz w:val="20"/>
                <w:szCs w:val="20"/>
              </w:rPr>
              <w:t>In bullets, provide a b</w:t>
            </w:r>
            <w:r w:rsidR="00BC2206" w:rsidRPr="00BC2206">
              <w:rPr>
                <w:i/>
                <w:iCs/>
                <w:sz w:val="20"/>
                <w:szCs w:val="20"/>
              </w:rPr>
              <w:t>rief overview of the composition of the social protection sector and the main challenges / gaps</w:t>
            </w:r>
            <w:r w:rsidR="00797D0C">
              <w:rPr>
                <w:i/>
                <w:iCs/>
                <w:sz w:val="20"/>
                <w:szCs w:val="20"/>
              </w:rPr>
              <w:t xml:space="preserve">, noting if the social protection system is limited, </w:t>
            </w:r>
            <w:proofErr w:type="gramStart"/>
            <w:r w:rsidR="00797D0C">
              <w:rPr>
                <w:i/>
                <w:iCs/>
                <w:sz w:val="20"/>
                <w:szCs w:val="20"/>
              </w:rPr>
              <w:t>emerging</w:t>
            </w:r>
            <w:proofErr w:type="gramEnd"/>
            <w:r w:rsidR="00797D0C">
              <w:rPr>
                <w:i/>
                <w:iCs/>
                <w:sz w:val="20"/>
                <w:szCs w:val="20"/>
              </w:rPr>
              <w:t xml:space="preserve"> or </w:t>
            </w:r>
            <w:r>
              <w:rPr>
                <w:i/>
                <w:iCs/>
                <w:sz w:val="20"/>
                <w:szCs w:val="20"/>
              </w:rPr>
              <w:t xml:space="preserve">significantly </w:t>
            </w:r>
            <w:r w:rsidR="00797D0C">
              <w:rPr>
                <w:i/>
                <w:iCs/>
                <w:sz w:val="20"/>
                <w:szCs w:val="20"/>
              </w:rPr>
              <w:t>developed</w:t>
            </w:r>
            <w:r w:rsidR="00BC2206" w:rsidRPr="00BC2206">
              <w:rPr>
                <w:i/>
                <w:iCs/>
                <w:sz w:val="20"/>
                <w:szCs w:val="20"/>
              </w:rPr>
              <w:t xml:space="preserve">. </w:t>
            </w:r>
            <w:r w:rsidR="00344176" w:rsidRPr="00BC2206">
              <w:rPr>
                <w:i/>
                <w:iCs/>
                <w:sz w:val="20"/>
                <w:szCs w:val="20"/>
              </w:rPr>
              <w:t xml:space="preserve">If </w:t>
            </w:r>
            <w:r w:rsidR="00BC2206" w:rsidRPr="00BC2206">
              <w:rPr>
                <w:i/>
                <w:iCs/>
                <w:sz w:val="20"/>
                <w:szCs w:val="20"/>
              </w:rPr>
              <w:t>possible,</w:t>
            </w:r>
            <w:r w:rsidR="00344176" w:rsidRPr="00BC2206">
              <w:rPr>
                <w:i/>
                <w:iCs/>
                <w:sz w:val="20"/>
                <w:szCs w:val="20"/>
              </w:rPr>
              <w:t xml:space="preserve"> provide links to any assessments of the national social protection system</w:t>
            </w:r>
            <w:r w:rsidR="00797D0C">
              <w:rPr>
                <w:i/>
                <w:iCs/>
                <w:sz w:val="20"/>
                <w:szCs w:val="20"/>
              </w:rPr>
              <w:t>.</w:t>
            </w:r>
            <w:r w:rsidR="00F378E1">
              <w:rPr>
                <w:i/>
                <w:iCs/>
                <w:sz w:val="20"/>
                <w:szCs w:val="20"/>
              </w:rPr>
              <w:t xml:space="preserve"> </w:t>
            </w:r>
            <w:r w:rsidR="004A2F83">
              <w:rPr>
                <w:i/>
                <w:iCs/>
                <w:sz w:val="20"/>
                <w:szCs w:val="20"/>
              </w:rPr>
              <w:t>Drawing on available</w:t>
            </w:r>
            <w:r w:rsidR="00A57A20">
              <w:rPr>
                <w:i/>
                <w:iCs/>
                <w:sz w:val="20"/>
                <w:szCs w:val="20"/>
              </w:rPr>
              <w:t xml:space="preserve"> reports/data include</w:t>
            </w:r>
            <w:r w:rsidR="00F378E1">
              <w:rPr>
                <w:i/>
                <w:iCs/>
                <w:sz w:val="20"/>
                <w:szCs w:val="20"/>
              </w:rPr>
              <w:t xml:space="preserve"> information on legislative and policy frameworks,</w:t>
            </w:r>
            <w:r w:rsidR="00A57A20">
              <w:rPr>
                <w:i/>
                <w:iCs/>
                <w:sz w:val="20"/>
                <w:szCs w:val="20"/>
              </w:rPr>
              <w:t xml:space="preserve"> main actors,</w:t>
            </w:r>
            <w:r w:rsidR="00F378E1">
              <w:rPr>
                <w:i/>
                <w:iCs/>
                <w:sz w:val="20"/>
                <w:szCs w:val="20"/>
              </w:rPr>
              <w:t xml:space="preserve"> </w:t>
            </w:r>
            <w:r w:rsidR="007447C5">
              <w:rPr>
                <w:i/>
                <w:iCs/>
                <w:sz w:val="20"/>
                <w:szCs w:val="20"/>
              </w:rPr>
              <w:t xml:space="preserve">% of GDP allocated to the social protection (disaggregated by </w:t>
            </w:r>
            <w:proofErr w:type="spellStart"/>
            <w:r w:rsidR="007447C5">
              <w:rPr>
                <w:i/>
                <w:iCs/>
                <w:sz w:val="20"/>
                <w:szCs w:val="20"/>
              </w:rPr>
              <w:t>programme</w:t>
            </w:r>
            <w:proofErr w:type="spellEnd"/>
            <w:r w:rsidR="007447C5">
              <w:rPr>
                <w:i/>
                <w:iCs/>
                <w:sz w:val="20"/>
                <w:szCs w:val="20"/>
              </w:rPr>
              <w:t xml:space="preserve"> if possible), coverage</w:t>
            </w:r>
            <w:r w:rsidR="00402DFC">
              <w:rPr>
                <w:i/>
                <w:iCs/>
                <w:sz w:val="20"/>
                <w:szCs w:val="20"/>
              </w:rPr>
              <w:t>,</w:t>
            </w:r>
            <w:r w:rsidR="00797D0C">
              <w:rPr>
                <w:i/>
                <w:iCs/>
                <w:sz w:val="20"/>
                <w:szCs w:val="20"/>
              </w:rPr>
              <w:t xml:space="preserve"> </w:t>
            </w:r>
            <w:r w:rsidR="004A2F83">
              <w:rPr>
                <w:i/>
                <w:iCs/>
                <w:sz w:val="20"/>
                <w:szCs w:val="20"/>
              </w:rPr>
              <w:t xml:space="preserve">etc. </w:t>
            </w:r>
            <w:r w:rsidR="00797D0C">
              <w:rPr>
                <w:i/>
                <w:iCs/>
                <w:sz w:val="20"/>
                <w:szCs w:val="20"/>
              </w:rPr>
              <w:t>Please provide links to useful resources.</w:t>
            </w:r>
          </w:p>
        </w:tc>
      </w:tr>
      <w:tr w:rsidR="00344176" w14:paraId="493CC0FA" w14:textId="77777777" w:rsidTr="003661B9">
        <w:trPr>
          <w:trHeight w:val="833"/>
        </w:trPr>
        <w:tc>
          <w:tcPr>
            <w:tcW w:w="5812" w:type="dxa"/>
            <w:gridSpan w:val="2"/>
            <w:shd w:val="clear" w:color="auto" w:fill="EECBB8"/>
          </w:tcPr>
          <w:p w14:paraId="56322D00" w14:textId="013E310F" w:rsidR="00344176" w:rsidRPr="00BC2206" w:rsidRDefault="3548E58C" w:rsidP="004D5D57">
            <w:pPr>
              <w:rPr>
                <w:b/>
                <w:bCs/>
              </w:rPr>
            </w:pPr>
            <w:r w:rsidRPr="420527C3">
              <w:rPr>
                <w:b/>
                <w:bCs/>
              </w:rPr>
              <w:t>Relevant</w:t>
            </w:r>
            <w:r w:rsidR="69F08219" w:rsidRPr="420527C3">
              <w:rPr>
                <w:b/>
                <w:bCs/>
              </w:rPr>
              <w:t xml:space="preserve"> Social Protection </w:t>
            </w:r>
            <w:proofErr w:type="spellStart"/>
            <w:r w:rsidR="69F08219" w:rsidRPr="420527C3">
              <w:rPr>
                <w:b/>
                <w:bCs/>
              </w:rPr>
              <w:t>Programme</w:t>
            </w:r>
            <w:proofErr w:type="spellEnd"/>
            <w:r w:rsidR="093DA699" w:rsidRPr="420527C3">
              <w:rPr>
                <w:b/>
                <w:bCs/>
              </w:rPr>
              <w:t>/s</w:t>
            </w:r>
            <w:r w:rsidR="69F08219" w:rsidRPr="420527C3">
              <w:rPr>
                <w:b/>
                <w:bCs/>
              </w:rPr>
              <w:t xml:space="preserve"> (optional)</w:t>
            </w:r>
            <w:r w:rsidR="3895E06D" w:rsidRPr="420527C3">
              <w:rPr>
                <w:b/>
                <w:bCs/>
              </w:rPr>
              <w:t xml:space="preserve"> </w:t>
            </w:r>
          </w:p>
          <w:p w14:paraId="5DF53D7A" w14:textId="0C8F7B70" w:rsidR="00344176" w:rsidRPr="00BC2206" w:rsidRDefault="00344176" w:rsidP="004D5D57">
            <w:pPr>
              <w:rPr>
                <w:i/>
                <w:iCs/>
                <w:sz w:val="20"/>
                <w:szCs w:val="20"/>
              </w:rPr>
            </w:pPr>
            <w:r w:rsidRPr="00BC2206">
              <w:rPr>
                <w:i/>
                <w:iCs/>
                <w:sz w:val="20"/>
                <w:szCs w:val="20"/>
              </w:rPr>
              <w:t xml:space="preserve">This section provides a quick overview of the main social protection </w:t>
            </w:r>
            <w:proofErr w:type="spellStart"/>
            <w:r w:rsidRPr="00BC2206">
              <w:rPr>
                <w:i/>
                <w:iCs/>
                <w:sz w:val="20"/>
                <w:szCs w:val="20"/>
              </w:rPr>
              <w:t>programme</w:t>
            </w:r>
            <w:proofErr w:type="spellEnd"/>
            <w:r w:rsidR="006934A8">
              <w:rPr>
                <w:i/>
                <w:iCs/>
                <w:sz w:val="20"/>
                <w:szCs w:val="20"/>
              </w:rPr>
              <w:t>(</w:t>
            </w:r>
            <w:r w:rsidR="00797D0C">
              <w:rPr>
                <w:i/>
                <w:iCs/>
                <w:sz w:val="20"/>
                <w:szCs w:val="20"/>
              </w:rPr>
              <w:t>s)</w:t>
            </w:r>
            <w:r w:rsidR="00797D0C" w:rsidRPr="00BC2206">
              <w:rPr>
                <w:i/>
                <w:iCs/>
                <w:sz w:val="20"/>
                <w:szCs w:val="20"/>
              </w:rPr>
              <w:t xml:space="preserve"> leveraged</w:t>
            </w:r>
            <w:r w:rsidRPr="00BC2206">
              <w:rPr>
                <w:i/>
                <w:iCs/>
                <w:sz w:val="20"/>
                <w:szCs w:val="20"/>
              </w:rPr>
              <w:t xml:space="preserve"> by humanitarian actors in the delivery of CVA</w:t>
            </w:r>
            <w:r w:rsidR="006934A8">
              <w:rPr>
                <w:i/>
                <w:iCs/>
                <w:sz w:val="20"/>
                <w:szCs w:val="20"/>
              </w:rPr>
              <w:t xml:space="preserve"> or made more shock responsive by linking with non-government humanitarian action</w:t>
            </w:r>
            <w:r w:rsidRPr="00BC2206">
              <w:rPr>
                <w:i/>
                <w:iCs/>
                <w:sz w:val="20"/>
                <w:szCs w:val="20"/>
              </w:rPr>
              <w:t>.</w:t>
            </w:r>
            <w:r w:rsidR="006934A8">
              <w:rPr>
                <w:i/>
                <w:iCs/>
                <w:sz w:val="20"/>
                <w:szCs w:val="20"/>
              </w:rPr>
              <w:t xml:space="preserve"> Co</w:t>
            </w:r>
            <w:r w:rsidR="00797D0C">
              <w:rPr>
                <w:i/>
                <w:iCs/>
                <w:sz w:val="20"/>
                <w:szCs w:val="20"/>
              </w:rPr>
              <w:t>p</w:t>
            </w:r>
            <w:r w:rsidR="006934A8">
              <w:rPr>
                <w:i/>
                <w:iCs/>
                <w:sz w:val="20"/>
                <w:szCs w:val="20"/>
              </w:rPr>
              <w:t>y box and replicate i</w:t>
            </w:r>
            <w:r w:rsidRPr="00BC2206">
              <w:rPr>
                <w:i/>
                <w:iCs/>
                <w:sz w:val="20"/>
                <w:szCs w:val="20"/>
              </w:rPr>
              <w:t xml:space="preserve">f more than one </w:t>
            </w:r>
            <w:proofErr w:type="spellStart"/>
            <w:r w:rsidRPr="00BC2206">
              <w:rPr>
                <w:i/>
                <w:iCs/>
                <w:sz w:val="20"/>
                <w:szCs w:val="20"/>
              </w:rPr>
              <w:t>programme</w:t>
            </w:r>
            <w:proofErr w:type="spellEnd"/>
            <w:r w:rsidRPr="00BC2206">
              <w:rPr>
                <w:i/>
                <w:iCs/>
                <w:sz w:val="20"/>
                <w:szCs w:val="20"/>
              </w:rPr>
              <w:t xml:space="preserve"> exists. If no </w:t>
            </w:r>
            <w:proofErr w:type="spellStart"/>
            <w:r w:rsidRPr="00BC2206">
              <w:rPr>
                <w:i/>
                <w:iCs/>
                <w:sz w:val="20"/>
                <w:szCs w:val="20"/>
              </w:rPr>
              <w:t>programme</w:t>
            </w:r>
            <w:proofErr w:type="spellEnd"/>
            <w:r w:rsidRPr="00BC2206">
              <w:rPr>
                <w:i/>
                <w:iCs/>
                <w:sz w:val="20"/>
                <w:szCs w:val="20"/>
              </w:rPr>
              <w:t xml:space="preserve"> exists</w:t>
            </w:r>
            <w:r w:rsidR="006934A8">
              <w:rPr>
                <w:i/>
                <w:iCs/>
                <w:sz w:val="20"/>
                <w:szCs w:val="20"/>
              </w:rPr>
              <w:t>, omit box</w:t>
            </w:r>
            <w:r w:rsidRPr="00BC2206">
              <w:rPr>
                <w:i/>
                <w:iCs/>
                <w:sz w:val="20"/>
                <w:szCs w:val="20"/>
              </w:rPr>
              <w:t>.  Information to be included:</w:t>
            </w:r>
          </w:p>
          <w:p w14:paraId="2444616A" w14:textId="77777777" w:rsidR="00344176" w:rsidRPr="00484150" w:rsidRDefault="00344176" w:rsidP="00484150">
            <w:pPr>
              <w:pStyle w:val="ListParagraph"/>
              <w:numPr>
                <w:ilvl w:val="0"/>
                <w:numId w:val="19"/>
              </w:numPr>
              <w:rPr>
                <w:sz w:val="20"/>
                <w:szCs w:val="20"/>
              </w:rPr>
            </w:pPr>
            <w:r w:rsidRPr="00484150">
              <w:rPr>
                <w:sz w:val="20"/>
                <w:szCs w:val="20"/>
                <w:u w:val="single"/>
              </w:rPr>
              <w:t>Objectives:</w:t>
            </w:r>
            <w:r w:rsidRPr="00484150">
              <w:rPr>
                <w:sz w:val="20"/>
                <w:szCs w:val="20"/>
              </w:rPr>
              <w:t xml:space="preserve"> </w:t>
            </w:r>
          </w:p>
          <w:p w14:paraId="6E59EF27" w14:textId="77777777" w:rsidR="00344176" w:rsidRPr="00484150" w:rsidRDefault="00344176" w:rsidP="00484150">
            <w:pPr>
              <w:pStyle w:val="ListParagraph"/>
              <w:numPr>
                <w:ilvl w:val="0"/>
                <w:numId w:val="19"/>
              </w:numPr>
              <w:rPr>
                <w:sz w:val="20"/>
                <w:szCs w:val="20"/>
                <w:u w:val="single"/>
              </w:rPr>
            </w:pPr>
            <w:r w:rsidRPr="00484150">
              <w:rPr>
                <w:sz w:val="20"/>
                <w:szCs w:val="20"/>
                <w:u w:val="single"/>
              </w:rPr>
              <w:t xml:space="preserve">Coverage: </w:t>
            </w:r>
          </w:p>
          <w:p w14:paraId="0B38AE99" w14:textId="77777777" w:rsidR="00344176" w:rsidRPr="00484150" w:rsidRDefault="00344176" w:rsidP="00484150">
            <w:pPr>
              <w:pStyle w:val="ListParagraph"/>
              <w:numPr>
                <w:ilvl w:val="0"/>
                <w:numId w:val="19"/>
              </w:numPr>
              <w:rPr>
                <w:sz w:val="20"/>
                <w:szCs w:val="20"/>
              </w:rPr>
            </w:pPr>
            <w:proofErr w:type="spellStart"/>
            <w:r w:rsidRPr="00484150">
              <w:rPr>
                <w:sz w:val="20"/>
                <w:szCs w:val="20"/>
                <w:u w:val="single"/>
              </w:rPr>
              <w:t>Programme</w:t>
            </w:r>
            <w:proofErr w:type="spellEnd"/>
            <w:r w:rsidRPr="00484150">
              <w:rPr>
                <w:sz w:val="20"/>
                <w:szCs w:val="20"/>
                <w:u w:val="single"/>
              </w:rPr>
              <w:t xml:space="preserve"> Components:</w:t>
            </w:r>
            <w:r w:rsidRPr="00484150">
              <w:rPr>
                <w:sz w:val="20"/>
                <w:szCs w:val="20"/>
              </w:rPr>
              <w:t xml:space="preserve"> </w:t>
            </w:r>
          </w:p>
          <w:p w14:paraId="188EC7C6" w14:textId="77777777" w:rsidR="00344176" w:rsidRPr="00484150" w:rsidRDefault="00344176" w:rsidP="00484150">
            <w:pPr>
              <w:pStyle w:val="ListParagraph"/>
              <w:numPr>
                <w:ilvl w:val="0"/>
                <w:numId w:val="19"/>
              </w:numPr>
              <w:rPr>
                <w:sz w:val="20"/>
                <w:szCs w:val="20"/>
              </w:rPr>
            </w:pPr>
            <w:r w:rsidRPr="00484150">
              <w:rPr>
                <w:sz w:val="20"/>
                <w:szCs w:val="20"/>
                <w:u w:val="single"/>
              </w:rPr>
              <w:t>Administrative set-up:</w:t>
            </w:r>
            <w:r w:rsidRPr="00484150">
              <w:rPr>
                <w:sz w:val="20"/>
                <w:szCs w:val="20"/>
              </w:rPr>
              <w:t xml:space="preserve"> </w:t>
            </w:r>
          </w:p>
          <w:p w14:paraId="3892C681" w14:textId="77777777" w:rsidR="00344176" w:rsidRPr="00484150" w:rsidRDefault="00344176" w:rsidP="00484150">
            <w:pPr>
              <w:pStyle w:val="ListParagraph"/>
              <w:numPr>
                <w:ilvl w:val="0"/>
                <w:numId w:val="19"/>
              </w:numPr>
              <w:rPr>
                <w:sz w:val="20"/>
                <w:szCs w:val="20"/>
              </w:rPr>
            </w:pPr>
            <w:r w:rsidRPr="00484150">
              <w:rPr>
                <w:sz w:val="20"/>
                <w:szCs w:val="20"/>
                <w:u w:val="single"/>
              </w:rPr>
              <w:t>Eligibility /Targeting Mechanism</w:t>
            </w:r>
            <w:r w:rsidRPr="00484150">
              <w:rPr>
                <w:sz w:val="20"/>
                <w:szCs w:val="20"/>
              </w:rPr>
              <w:t xml:space="preserve">: </w:t>
            </w:r>
          </w:p>
          <w:p w14:paraId="71D618F4" w14:textId="77777777" w:rsidR="00344176" w:rsidRPr="00484150" w:rsidRDefault="00344176" w:rsidP="00484150">
            <w:pPr>
              <w:pStyle w:val="ListParagraph"/>
              <w:numPr>
                <w:ilvl w:val="0"/>
                <w:numId w:val="19"/>
              </w:numPr>
              <w:rPr>
                <w:sz w:val="20"/>
                <w:szCs w:val="20"/>
              </w:rPr>
            </w:pPr>
            <w:r w:rsidRPr="00484150">
              <w:rPr>
                <w:sz w:val="20"/>
                <w:szCs w:val="20"/>
                <w:u w:val="single"/>
              </w:rPr>
              <w:t xml:space="preserve">Delivery Mechanism: </w:t>
            </w:r>
            <w:r w:rsidRPr="00484150">
              <w:rPr>
                <w:sz w:val="20"/>
                <w:szCs w:val="20"/>
              </w:rPr>
              <w:t xml:space="preserve"> </w:t>
            </w:r>
          </w:p>
        </w:tc>
        <w:tc>
          <w:tcPr>
            <w:tcW w:w="5078" w:type="dxa"/>
            <w:shd w:val="clear" w:color="auto" w:fill="F8E3D5"/>
          </w:tcPr>
          <w:p w14:paraId="3D883D87" w14:textId="77777777" w:rsidR="00344176" w:rsidRPr="00BC2206" w:rsidRDefault="00344176" w:rsidP="004D5D57">
            <w:pPr>
              <w:rPr>
                <w:b/>
                <w:bCs/>
              </w:rPr>
            </w:pPr>
            <w:r w:rsidRPr="00BC2206">
              <w:rPr>
                <w:b/>
                <w:bCs/>
              </w:rPr>
              <w:t>Timeline of Key Social Protection and CVA Developments</w:t>
            </w:r>
          </w:p>
          <w:p w14:paraId="0C291C9A" w14:textId="09D61C81" w:rsidR="00344176" w:rsidRDefault="69F08219" w:rsidP="420527C3">
            <w:pPr>
              <w:rPr>
                <w:i/>
                <w:iCs/>
                <w:sz w:val="18"/>
                <w:szCs w:val="18"/>
              </w:rPr>
            </w:pPr>
            <w:r w:rsidRPr="420527C3">
              <w:rPr>
                <w:i/>
                <w:iCs/>
                <w:sz w:val="18"/>
                <w:szCs w:val="18"/>
              </w:rPr>
              <w:t xml:space="preserve">Include key developments that have shaped the social protection and CVA landscape, including introduction of major SP or CVA </w:t>
            </w:r>
            <w:proofErr w:type="spellStart"/>
            <w:r w:rsidRPr="420527C3">
              <w:rPr>
                <w:i/>
                <w:iCs/>
                <w:sz w:val="18"/>
                <w:szCs w:val="18"/>
              </w:rPr>
              <w:t>programmes</w:t>
            </w:r>
            <w:proofErr w:type="spellEnd"/>
            <w:r w:rsidRPr="420527C3">
              <w:rPr>
                <w:i/>
                <w:iCs/>
                <w:sz w:val="18"/>
                <w:szCs w:val="18"/>
              </w:rPr>
              <w:t xml:space="preserve">, and events/conferences which have influenced the evolution of the system and approaches.  </w:t>
            </w:r>
            <w:r w:rsidR="743952F5" w:rsidRPr="420527C3">
              <w:rPr>
                <w:i/>
                <w:iCs/>
                <w:sz w:val="18"/>
                <w:szCs w:val="18"/>
              </w:rPr>
              <w:t xml:space="preserve">Include links to relevant documents </w:t>
            </w:r>
            <w:r w:rsidR="508605A2" w:rsidRPr="420527C3">
              <w:rPr>
                <w:i/>
                <w:iCs/>
                <w:sz w:val="18"/>
                <w:szCs w:val="18"/>
              </w:rPr>
              <w:t>where</w:t>
            </w:r>
            <w:r w:rsidR="743952F5" w:rsidRPr="420527C3">
              <w:rPr>
                <w:i/>
                <w:iCs/>
                <w:sz w:val="18"/>
                <w:szCs w:val="18"/>
              </w:rPr>
              <w:t xml:space="preserve"> possible</w:t>
            </w:r>
            <w:r w:rsidR="3895E06D" w:rsidRPr="420527C3">
              <w:rPr>
                <w:i/>
                <w:iCs/>
                <w:sz w:val="18"/>
                <w:szCs w:val="18"/>
              </w:rPr>
              <w:t>.</w:t>
            </w:r>
          </w:p>
          <w:p w14:paraId="125C939B" w14:textId="77777777" w:rsidR="006934A8" w:rsidRDefault="006934A8" w:rsidP="004D5D57">
            <w:pPr>
              <w:rPr>
                <w:i/>
                <w:iCs/>
                <w:sz w:val="18"/>
                <w:szCs w:val="18"/>
              </w:rPr>
            </w:pPr>
          </w:p>
          <w:p w14:paraId="2EAD4BAC" w14:textId="3185903B" w:rsidR="006934A8" w:rsidRPr="00BC2206" w:rsidRDefault="006934A8" w:rsidP="006934A8">
            <w:pPr>
              <w:rPr>
                <w:i/>
                <w:iCs/>
                <w:sz w:val="18"/>
                <w:szCs w:val="18"/>
              </w:rPr>
            </w:pPr>
          </w:p>
        </w:tc>
      </w:tr>
    </w:tbl>
    <w:p w14:paraId="442A5C1D" w14:textId="77777777" w:rsidR="00D41010" w:rsidRDefault="00D41010">
      <w:r>
        <w:br w:type="page"/>
      </w:r>
    </w:p>
    <w:tbl>
      <w:tblPr>
        <w:tblStyle w:val="TableGrid"/>
        <w:tblW w:w="10890" w:type="dxa"/>
        <w:tblInd w:w="-63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0890"/>
      </w:tblGrid>
      <w:tr w:rsidR="00344176" w14:paraId="10848E1B" w14:textId="77777777" w:rsidTr="003661B9">
        <w:trPr>
          <w:trHeight w:val="368"/>
        </w:trPr>
        <w:tc>
          <w:tcPr>
            <w:tcW w:w="10890" w:type="dxa"/>
            <w:shd w:val="clear" w:color="auto" w:fill="109C7B"/>
          </w:tcPr>
          <w:p w14:paraId="3AC41934" w14:textId="33C5BE82" w:rsidR="00344176" w:rsidRPr="00E968EB" w:rsidRDefault="00E968EB" w:rsidP="004D5D57">
            <w:pPr>
              <w:rPr>
                <w:color w:val="FFFFFF" w:themeColor="background1"/>
              </w:rPr>
            </w:pPr>
            <w:r w:rsidRPr="00E968EB">
              <w:rPr>
                <w:color w:val="FFFFFF" w:themeColor="background1"/>
              </w:rPr>
              <w:lastRenderedPageBreak/>
              <w:t>EXAMPLES OF CVA PROGRAMME LINKAGES</w:t>
            </w:r>
          </w:p>
          <w:p w14:paraId="1007A654" w14:textId="074AE47B" w:rsidR="00344176" w:rsidRPr="00BC2206" w:rsidRDefault="00344176" w:rsidP="004D5D57">
            <w:pPr>
              <w:rPr>
                <w:b/>
                <w:bCs/>
                <w:i/>
                <w:iCs/>
              </w:rPr>
            </w:pPr>
            <w:r w:rsidRPr="00E968EB">
              <w:rPr>
                <w:i/>
                <w:iCs/>
                <w:color w:val="FFFFFF" w:themeColor="background1"/>
                <w:sz w:val="20"/>
                <w:szCs w:val="20"/>
              </w:rPr>
              <w:t>Include in the table below most relevant examples of</w:t>
            </w:r>
            <w:r w:rsidR="00BC2206" w:rsidRPr="00E968EB">
              <w:rPr>
                <w:i/>
                <w:iCs/>
                <w:color w:val="FFFFFF" w:themeColor="background1"/>
                <w:sz w:val="20"/>
                <w:szCs w:val="20"/>
              </w:rPr>
              <w:t xml:space="preserve"> CVA</w:t>
            </w:r>
            <w:r w:rsidRPr="00E968EB">
              <w:rPr>
                <w:i/>
                <w:iCs/>
                <w:color w:val="FFFFFF" w:themeColor="background1"/>
                <w:sz w:val="20"/>
                <w:szCs w:val="20"/>
              </w:rPr>
              <w:t xml:space="preserve"> </w:t>
            </w:r>
            <w:proofErr w:type="spellStart"/>
            <w:r w:rsidRPr="00E968EB">
              <w:rPr>
                <w:i/>
                <w:iCs/>
                <w:color w:val="FFFFFF" w:themeColor="background1"/>
                <w:sz w:val="20"/>
                <w:szCs w:val="20"/>
              </w:rPr>
              <w:t>programmes</w:t>
            </w:r>
            <w:proofErr w:type="spellEnd"/>
            <w:r w:rsidRPr="00E968EB">
              <w:rPr>
                <w:i/>
                <w:iCs/>
                <w:color w:val="FFFFFF" w:themeColor="background1"/>
                <w:sz w:val="20"/>
                <w:szCs w:val="20"/>
              </w:rPr>
              <w:t xml:space="preserve"> that have linked with the national system or are parallel </w:t>
            </w:r>
            <w:r w:rsidR="00BC2206" w:rsidRPr="00E968EB">
              <w:rPr>
                <w:i/>
                <w:iCs/>
                <w:color w:val="FFFFFF" w:themeColor="background1"/>
                <w:sz w:val="20"/>
                <w:szCs w:val="20"/>
              </w:rPr>
              <w:t xml:space="preserve">but have been </w:t>
            </w:r>
            <w:r w:rsidRPr="00E968EB">
              <w:rPr>
                <w:i/>
                <w:iCs/>
                <w:color w:val="FFFFFF" w:themeColor="background1"/>
                <w:sz w:val="20"/>
                <w:szCs w:val="20"/>
              </w:rPr>
              <w:t>used to influence the design/reform of national systems/</w:t>
            </w:r>
            <w:proofErr w:type="spellStart"/>
            <w:r w:rsidRPr="00E968EB">
              <w:rPr>
                <w:i/>
                <w:iCs/>
                <w:color w:val="FFFFFF" w:themeColor="background1"/>
                <w:sz w:val="20"/>
                <w:szCs w:val="20"/>
              </w:rPr>
              <w:t>programmes</w:t>
            </w:r>
            <w:proofErr w:type="spellEnd"/>
            <w:r w:rsidRPr="00E968EB">
              <w:rPr>
                <w:i/>
                <w:iCs/>
                <w:color w:val="FFFFFF" w:themeColor="background1"/>
                <w:sz w:val="20"/>
                <w:szCs w:val="20"/>
              </w:rPr>
              <w:t>.</w:t>
            </w:r>
            <w:r w:rsidRPr="00E968EB">
              <w:rPr>
                <w:b/>
                <w:bCs/>
                <w:i/>
                <w:iCs/>
                <w:color w:val="FFFFFF" w:themeColor="background1"/>
              </w:rPr>
              <w:t xml:space="preserve"> </w:t>
            </w:r>
          </w:p>
        </w:tc>
      </w:tr>
      <w:tr w:rsidR="00CA6F1B" w14:paraId="44CD9EBD" w14:textId="77777777" w:rsidTr="003661B9">
        <w:trPr>
          <w:trHeight w:val="620"/>
        </w:trPr>
        <w:tc>
          <w:tcPr>
            <w:tcW w:w="10890" w:type="dxa"/>
            <w:shd w:val="clear" w:color="auto" w:fill="E9F2EA"/>
          </w:tcPr>
          <w:p w14:paraId="14DD48F4" w14:textId="2526548C" w:rsidR="00CA6F1B" w:rsidRDefault="3F4FBD3F" w:rsidP="420527C3">
            <w:pPr>
              <w:rPr>
                <w:i/>
                <w:iCs/>
                <w:sz w:val="20"/>
                <w:szCs w:val="20"/>
              </w:rPr>
            </w:pPr>
            <w:r w:rsidRPr="420527C3">
              <w:rPr>
                <w:i/>
                <w:iCs/>
                <w:sz w:val="20"/>
                <w:szCs w:val="20"/>
              </w:rPr>
              <w:t xml:space="preserve">A brief description of the </w:t>
            </w:r>
            <w:proofErr w:type="spellStart"/>
            <w:r w:rsidRPr="420527C3">
              <w:rPr>
                <w:i/>
                <w:iCs/>
                <w:sz w:val="20"/>
                <w:szCs w:val="20"/>
              </w:rPr>
              <w:t>programme</w:t>
            </w:r>
            <w:proofErr w:type="spellEnd"/>
            <w:r w:rsidR="7DAF0148" w:rsidRPr="420527C3">
              <w:rPr>
                <w:i/>
                <w:iCs/>
                <w:sz w:val="20"/>
                <w:szCs w:val="20"/>
              </w:rPr>
              <w:t>/s</w:t>
            </w:r>
            <w:r w:rsidRPr="420527C3">
              <w:rPr>
                <w:i/>
                <w:iCs/>
                <w:sz w:val="20"/>
                <w:szCs w:val="20"/>
              </w:rPr>
              <w:t xml:space="preserve">, main actors, objectives and how linkages were achieved along the following “building blocks/delivery chain” and components. </w:t>
            </w:r>
          </w:p>
          <w:p w14:paraId="0958691B" w14:textId="0CF8B8DE" w:rsidR="00CA6F1B" w:rsidRPr="00A3695C" w:rsidRDefault="00CA6F1B" w:rsidP="00175AC5">
            <w:pPr>
              <w:pStyle w:val="ListParagraph"/>
              <w:numPr>
                <w:ilvl w:val="0"/>
                <w:numId w:val="18"/>
              </w:numPr>
              <w:rPr>
                <w:i/>
                <w:iCs/>
                <w:sz w:val="20"/>
                <w:szCs w:val="20"/>
              </w:rPr>
            </w:pPr>
            <w:r w:rsidRPr="00A3695C">
              <w:rPr>
                <w:rFonts w:ascii="Calibri" w:hAnsi="Calibri" w:cs="Calibri"/>
                <w:sz w:val="18"/>
                <w:szCs w:val="18"/>
              </w:rPr>
              <w:t>Stakeholders and institutions</w:t>
            </w:r>
          </w:p>
          <w:p w14:paraId="634AFD97" w14:textId="20BA49F0" w:rsidR="00CA6F1B" w:rsidRPr="00A3695C" w:rsidRDefault="00CA6F1B" w:rsidP="00175AC5">
            <w:pPr>
              <w:pStyle w:val="ListParagraph"/>
              <w:numPr>
                <w:ilvl w:val="1"/>
                <w:numId w:val="18"/>
              </w:numPr>
              <w:jc w:val="both"/>
              <w:rPr>
                <w:rFonts w:ascii="Calibri" w:hAnsi="Calibri" w:cs="Calibri"/>
                <w:sz w:val="18"/>
                <w:szCs w:val="18"/>
              </w:rPr>
            </w:pPr>
            <w:r w:rsidRPr="00A3695C">
              <w:rPr>
                <w:rFonts w:ascii="Calibri" w:hAnsi="Calibri" w:cs="Calibri"/>
                <w:sz w:val="18"/>
                <w:szCs w:val="18"/>
              </w:rPr>
              <w:t>Policy and regulatory frameworks</w:t>
            </w:r>
          </w:p>
          <w:p w14:paraId="3E5B8CD0" w14:textId="77777777" w:rsidR="00CA6F1B" w:rsidRDefault="00CA6F1B" w:rsidP="00175AC5">
            <w:pPr>
              <w:pStyle w:val="ListParagraph"/>
              <w:numPr>
                <w:ilvl w:val="1"/>
                <w:numId w:val="18"/>
              </w:numPr>
              <w:jc w:val="both"/>
              <w:rPr>
                <w:rFonts w:ascii="Calibri" w:hAnsi="Calibri" w:cs="Calibri"/>
                <w:sz w:val="18"/>
                <w:szCs w:val="18"/>
              </w:rPr>
            </w:pPr>
            <w:r w:rsidRPr="00A3695C">
              <w:rPr>
                <w:rFonts w:ascii="Calibri" w:hAnsi="Calibri" w:cs="Calibri"/>
                <w:sz w:val="18"/>
                <w:szCs w:val="18"/>
              </w:rPr>
              <w:t>Governance and coordination</w:t>
            </w:r>
          </w:p>
          <w:p w14:paraId="3CD8C6AF" w14:textId="01013605" w:rsidR="00CA6F1B" w:rsidRDefault="00CA6F1B" w:rsidP="00175AC5">
            <w:pPr>
              <w:pStyle w:val="ListParagraph"/>
              <w:numPr>
                <w:ilvl w:val="1"/>
                <w:numId w:val="18"/>
              </w:numPr>
              <w:jc w:val="both"/>
              <w:rPr>
                <w:rFonts w:ascii="Calibri" w:hAnsi="Calibri" w:cs="Calibri"/>
                <w:sz w:val="18"/>
                <w:szCs w:val="18"/>
              </w:rPr>
            </w:pPr>
            <w:r>
              <w:rPr>
                <w:rFonts w:ascii="Calibri" w:hAnsi="Calibri" w:cs="Calibri"/>
                <w:sz w:val="18"/>
                <w:szCs w:val="18"/>
              </w:rPr>
              <w:t>I</w:t>
            </w:r>
            <w:r w:rsidRPr="00A3695C">
              <w:rPr>
                <w:rFonts w:ascii="Calibri" w:hAnsi="Calibri" w:cs="Calibri"/>
                <w:sz w:val="18"/>
                <w:szCs w:val="18"/>
              </w:rPr>
              <w:t>nstitutional capacities</w:t>
            </w:r>
          </w:p>
          <w:p w14:paraId="26820BF9" w14:textId="135EA5E0" w:rsidR="00CA6F1B" w:rsidRDefault="00CA6F1B" w:rsidP="00175AC5">
            <w:pPr>
              <w:pStyle w:val="ListParagraph"/>
              <w:numPr>
                <w:ilvl w:val="0"/>
                <w:numId w:val="18"/>
              </w:numPr>
              <w:jc w:val="both"/>
              <w:rPr>
                <w:rFonts w:ascii="Calibri" w:hAnsi="Calibri" w:cs="Calibri"/>
                <w:sz w:val="18"/>
                <w:szCs w:val="18"/>
              </w:rPr>
            </w:pPr>
            <w:r w:rsidRPr="009976A4">
              <w:rPr>
                <w:rFonts w:ascii="Calibri" w:hAnsi="Calibri" w:cs="Calibri"/>
                <w:sz w:val="18"/>
                <w:szCs w:val="18"/>
              </w:rPr>
              <w:t>Data and information systems</w:t>
            </w:r>
          </w:p>
          <w:p w14:paraId="2BD0EFE3" w14:textId="77777777" w:rsidR="00CA6F1B" w:rsidRPr="00A3695C" w:rsidRDefault="00CA6F1B" w:rsidP="00175AC5">
            <w:pPr>
              <w:pStyle w:val="ListParagraph"/>
              <w:numPr>
                <w:ilvl w:val="0"/>
                <w:numId w:val="18"/>
              </w:numPr>
              <w:jc w:val="both"/>
              <w:rPr>
                <w:rFonts w:ascii="Calibri" w:hAnsi="Calibri" w:cs="Calibri"/>
                <w:sz w:val="18"/>
                <w:szCs w:val="18"/>
              </w:rPr>
            </w:pPr>
            <w:r w:rsidRPr="00A3695C">
              <w:rPr>
                <w:rFonts w:ascii="Calibri" w:hAnsi="Calibri" w:cs="Calibri"/>
                <w:sz w:val="18"/>
                <w:szCs w:val="18"/>
              </w:rPr>
              <w:t>Social protection data and information systems (including beneficiary registries; social registries; data protection)</w:t>
            </w:r>
          </w:p>
          <w:p w14:paraId="04B3A887" w14:textId="77777777" w:rsidR="00CA6F1B" w:rsidRDefault="00CA6F1B" w:rsidP="00175AC5">
            <w:pPr>
              <w:pStyle w:val="ListParagraph"/>
              <w:numPr>
                <w:ilvl w:val="0"/>
                <w:numId w:val="18"/>
              </w:numPr>
              <w:jc w:val="both"/>
              <w:rPr>
                <w:rFonts w:ascii="Calibri" w:hAnsi="Calibri" w:cs="Calibri"/>
                <w:sz w:val="18"/>
                <w:szCs w:val="18"/>
              </w:rPr>
            </w:pPr>
            <w:r w:rsidRPr="00A3695C">
              <w:rPr>
                <w:rFonts w:ascii="Calibri" w:hAnsi="Calibri" w:cs="Calibri"/>
                <w:sz w:val="18"/>
                <w:szCs w:val="18"/>
              </w:rPr>
              <w:t>Other civil registries</w:t>
            </w:r>
          </w:p>
          <w:p w14:paraId="310E4909" w14:textId="2C2E3BAA" w:rsidR="00CA6F1B" w:rsidRPr="00A3695C" w:rsidRDefault="00CA6F1B" w:rsidP="00175AC5">
            <w:pPr>
              <w:pStyle w:val="ListParagraph"/>
              <w:numPr>
                <w:ilvl w:val="0"/>
                <w:numId w:val="18"/>
              </w:numPr>
              <w:jc w:val="both"/>
              <w:rPr>
                <w:rFonts w:ascii="Calibri" w:hAnsi="Calibri" w:cs="Calibri"/>
                <w:sz w:val="18"/>
                <w:szCs w:val="18"/>
              </w:rPr>
            </w:pPr>
            <w:r w:rsidRPr="00A3695C">
              <w:rPr>
                <w:rFonts w:ascii="Calibri" w:hAnsi="Calibri" w:cs="Calibri"/>
                <w:sz w:val="18"/>
                <w:szCs w:val="18"/>
              </w:rPr>
              <w:t>Data on disaster/shock vulnerability (including disaster vulnerability mapping, early warning systems and trigger indicators for early action)</w:t>
            </w:r>
          </w:p>
          <w:p w14:paraId="4525CC04" w14:textId="7B54E642" w:rsidR="00CA6F1B" w:rsidRDefault="00CA6F1B" w:rsidP="00175AC5">
            <w:pPr>
              <w:pStyle w:val="ListParagraph"/>
              <w:numPr>
                <w:ilvl w:val="0"/>
                <w:numId w:val="18"/>
              </w:numPr>
              <w:jc w:val="both"/>
              <w:rPr>
                <w:rFonts w:ascii="Calibri" w:hAnsi="Calibri" w:cs="Calibri"/>
                <w:sz w:val="18"/>
                <w:szCs w:val="18"/>
              </w:rPr>
            </w:pPr>
            <w:r w:rsidRPr="009976A4">
              <w:rPr>
                <w:rFonts w:ascii="Calibri" w:hAnsi="Calibri" w:cs="Calibri"/>
                <w:sz w:val="18"/>
                <w:szCs w:val="18"/>
              </w:rPr>
              <w:t xml:space="preserve">Cash transfer </w:t>
            </w:r>
            <w:proofErr w:type="spellStart"/>
            <w:r w:rsidRPr="009976A4">
              <w:rPr>
                <w:rFonts w:ascii="Calibri" w:hAnsi="Calibri" w:cs="Calibri"/>
                <w:sz w:val="18"/>
                <w:szCs w:val="18"/>
              </w:rPr>
              <w:t>programme</w:t>
            </w:r>
            <w:proofErr w:type="spellEnd"/>
            <w:r w:rsidRPr="009976A4">
              <w:rPr>
                <w:rFonts w:ascii="Calibri" w:hAnsi="Calibri" w:cs="Calibri"/>
                <w:sz w:val="18"/>
                <w:szCs w:val="18"/>
              </w:rPr>
              <w:t xml:space="preserve"> design</w:t>
            </w:r>
          </w:p>
          <w:p w14:paraId="50EC42D0" w14:textId="5BBC7AB6" w:rsidR="00CA6F1B" w:rsidRPr="00A3695C" w:rsidRDefault="00CA6F1B" w:rsidP="00175AC5">
            <w:pPr>
              <w:pStyle w:val="ListParagraph"/>
              <w:numPr>
                <w:ilvl w:val="1"/>
                <w:numId w:val="18"/>
              </w:numPr>
              <w:jc w:val="both"/>
              <w:rPr>
                <w:rFonts w:ascii="Calibri" w:hAnsi="Calibri" w:cs="Calibri"/>
                <w:sz w:val="18"/>
                <w:szCs w:val="18"/>
              </w:rPr>
            </w:pPr>
            <w:r w:rsidRPr="00A3695C">
              <w:rPr>
                <w:rFonts w:ascii="Calibri" w:hAnsi="Calibri" w:cs="Calibri"/>
                <w:sz w:val="18"/>
                <w:szCs w:val="18"/>
              </w:rPr>
              <w:t>Targeting design (coverage; criteria; methodology)</w:t>
            </w:r>
          </w:p>
          <w:p w14:paraId="12CBFE95" w14:textId="4B4E71C0" w:rsidR="00CA6F1B" w:rsidRPr="00A3695C" w:rsidRDefault="00CA6F1B" w:rsidP="00175AC5">
            <w:pPr>
              <w:pStyle w:val="ListParagraph"/>
              <w:numPr>
                <w:ilvl w:val="1"/>
                <w:numId w:val="18"/>
              </w:numPr>
              <w:jc w:val="both"/>
              <w:rPr>
                <w:rFonts w:ascii="Calibri" w:hAnsi="Calibri" w:cs="Calibri"/>
                <w:sz w:val="18"/>
                <w:szCs w:val="18"/>
              </w:rPr>
            </w:pPr>
            <w:r w:rsidRPr="00A3695C">
              <w:rPr>
                <w:rFonts w:ascii="Calibri" w:hAnsi="Calibri" w:cs="Calibri"/>
                <w:sz w:val="18"/>
                <w:szCs w:val="18"/>
              </w:rPr>
              <w:t>Modality design (including restrictions and conditions)</w:t>
            </w:r>
          </w:p>
          <w:p w14:paraId="03125A0E" w14:textId="74EE93CE" w:rsidR="00CA6F1B" w:rsidRDefault="00CA6F1B" w:rsidP="00175AC5">
            <w:pPr>
              <w:pStyle w:val="ListParagraph"/>
              <w:numPr>
                <w:ilvl w:val="1"/>
                <w:numId w:val="18"/>
              </w:numPr>
              <w:jc w:val="both"/>
              <w:rPr>
                <w:rFonts w:ascii="Calibri" w:hAnsi="Calibri" w:cs="Calibri"/>
                <w:sz w:val="18"/>
                <w:szCs w:val="18"/>
              </w:rPr>
            </w:pPr>
            <w:r w:rsidRPr="009976A4">
              <w:rPr>
                <w:rFonts w:ascii="Calibri" w:hAnsi="Calibri" w:cs="Calibri"/>
                <w:sz w:val="18"/>
                <w:szCs w:val="18"/>
              </w:rPr>
              <w:t>Transfer design (value, frequency, duration, exit)</w:t>
            </w:r>
          </w:p>
          <w:p w14:paraId="14DDA9FA" w14:textId="664F70ED" w:rsidR="00CA6F1B" w:rsidRDefault="00CA6F1B" w:rsidP="00175AC5">
            <w:pPr>
              <w:pStyle w:val="ListParagraph"/>
              <w:numPr>
                <w:ilvl w:val="0"/>
                <w:numId w:val="18"/>
              </w:numPr>
              <w:jc w:val="both"/>
              <w:rPr>
                <w:rFonts w:ascii="Calibri" w:hAnsi="Calibri" w:cs="Calibri"/>
                <w:sz w:val="18"/>
                <w:szCs w:val="18"/>
              </w:rPr>
            </w:pPr>
            <w:r w:rsidRPr="009976A4">
              <w:rPr>
                <w:rFonts w:ascii="Calibri" w:hAnsi="Calibri" w:cs="Calibri"/>
                <w:sz w:val="18"/>
                <w:szCs w:val="18"/>
              </w:rPr>
              <w:t>Delivery systems</w:t>
            </w:r>
          </w:p>
          <w:p w14:paraId="00A915FD" w14:textId="34687DC8" w:rsidR="00CA6F1B" w:rsidRPr="00A3695C" w:rsidRDefault="00CA6F1B" w:rsidP="00175AC5">
            <w:pPr>
              <w:pStyle w:val="ListParagraph"/>
              <w:numPr>
                <w:ilvl w:val="1"/>
                <w:numId w:val="18"/>
              </w:numPr>
              <w:jc w:val="both"/>
              <w:rPr>
                <w:rFonts w:ascii="Calibri" w:hAnsi="Calibri" w:cs="Calibri"/>
                <w:sz w:val="18"/>
                <w:szCs w:val="18"/>
              </w:rPr>
            </w:pPr>
            <w:r w:rsidRPr="00A3695C">
              <w:rPr>
                <w:rFonts w:ascii="Calibri" w:hAnsi="Calibri" w:cs="Calibri"/>
                <w:sz w:val="18"/>
                <w:szCs w:val="18"/>
              </w:rPr>
              <w:t>Registration</w:t>
            </w:r>
          </w:p>
          <w:p w14:paraId="71BD4BB8" w14:textId="1B1341F5" w:rsidR="00CA6F1B" w:rsidRPr="00A3695C" w:rsidRDefault="00CA6F1B" w:rsidP="00175AC5">
            <w:pPr>
              <w:pStyle w:val="ListParagraph"/>
              <w:numPr>
                <w:ilvl w:val="1"/>
                <w:numId w:val="18"/>
              </w:numPr>
              <w:jc w:val="both"/>
              <w:rPr>
                <w:rFonts w:ascii="Calibri" w:hAnsi="Calibri" w:cs="Calibri"/>
                <w:sz w:val="18"/>
                <w:szCs w:val="18"/>
              </w:rPr>
            </w:pPr>
            <w:r w:rsidRPr="00A3695C">
              <w:rPr>
                <w:rFonts w:ascii="Calibri" w:hAnsi="Calibri" w:cs="Calibri"/>
                <w:sz w:val="18"/>
                <w:szCs w:val="18"/>
              </w:rPr>
              <w:t>Enrolment</w:t>
            </w:r>
          </w:p>
          <w:p w14:paraId="060ED69F" w14:textId="4B33A470" w:rsidR="00CA6F1B" w:rsidRPr="00A3695C" w:rsidRDefault="00CA6F1B" w:rsidP="00175AC5">
            <w:pPr>
              <w:pStyle w:val="ListParagraph"/>
              <w:numPr>
                <w:ilvl w:val="1"/>
                <w:numId w:val="18"/>
              </w:numPr>
              <w:jc w:val="both"/>
              <w:rPr>
                <w:rFonts w:ascii="Calibri" w:hAnsi="Calibri" w:cs="Calibri"/>
                <w:sz w:val="18"/>
                <w:szCs w:val="18"/>
              </w:rPr>
            </w:pPr>
            <w:r w:rsidRPr="00A3695C">
              <w:rPr>
                <w:rFonts w:ascii="Calibri" w:hAnsi="Calibri" w:cs="Calibri"/>
                <w:sz w:val="18"/>
                <w:szCs w:val="18"/>
              </w:rPr>
              <w:t>Payment delivery</w:t>
            </w:r>
          </w:p>
          <w:p w14:paraId="024C4BAF" w14:textId="24D4F13A" w:rsidR="00CA6F1B" w:rsidRPr="00A3695C" w:rsidRDefault="00CA6F1B" w:rsidP="00175AC5">
            <w:pPr>
              <w:pStyle w:val="ListParagraph"/>
              <w:numPr>
                <w:ilvl w:val="1"/>
                <w:numId w:val="18"/>
              </w:numPr>
              <w:jc w:val="both"/>
              <w:rPr>
                <w:rFonts w:ascii="Calibri" w:hAnsi="Calibri" w:cs="Calibri"/>
                <w:sz w:val="18"/>
                <w:szCs w:val="18"/>
              </w:rPr>
            </w:pPr>
            <w:r w:rsidRPr="00A3695C">
              <w:rPr>
                <w:rFonts w:ascii="Calibri" w:hAnsi="Calibri" w:cs="Calibri"/>
                <w:sz w:val="18"/>
                <w:szCs w:val="18"/>
              </w:rPr>
              <w:t xml:space="preserve">Communication, </w:t>
            </w:r>
            <w:proofErr w:type="gramStart"/>
            <w:r w:rsidRPr="00A3695C">
              <w:rPr>
                <w:rFonts w:ascii="Calibri" w:hAnsi="Calibri" w:cs="Calibri"/>
                <w:sz w:val="18"/>
                <w:szCs w:val="18"/>
              </w:rPr>
              <w:t>complaints</w:t>
            </w:r>
            <w:proofErr w:type="gramEnd"/>
            <w:r w:rsidRPr="00A3695C">
              <w:rPr>
                <w:rFonts w:ascii="Calibri" w:hAnsi="Calibri" w:cs="Calibri"/>
                <w:sz w:val="18"/>
                <w:szCs w:val="18"/>
              </w:rPr>
              <w:t xml:space="preserve"> and feedback</w:t>
            </w:r>
          </w:p>
          <w:p w14:paraId="10AC1176" w14:textId="777105E8" w:rsidR="00CA6F1B" w:rsidRDefault="00CA6F1B" w:rsidP="00175AC5">
            <w:pPr>
              <w:pStyle w:val="ListParagraph"/>
              <w:numPr>
                <w:ilvl w:val="1"/>
                <w:numId w:val="18"/>
              </w:numPr>
              <w:jc w:val="both"/>
              <w:rPr>
                <w:rFonts w:ascii="Calibri" w:hAnsi="Calibri" w:cs="Calibri"/>
                <w:sz w:val="18"/>
                <w:szCs w:val="18"/>
              </w:rPr>
            </w:pPr>
            <w:r w:rsidRPr="009976A4">
              <w:rPr>
                <w:rFonts w:ascii="Calibri" w:hAnsi="Calibri" w:cs="Calibri"/>
                <w:sz w:val="18"/>
                <w:szCs w:val="18"/>
              </w:rPr>
              <w:t>M&amp;E</w:t>
            </w:r>
          </w:p>
          <w:p w14:paraId="1D24519E" w14:textId="57FF855E" w:rsidR="00CA6F1B" w:rsidRDefault="00CA6F1B" w:rsidP="00175AC5">
            <w:pPr>
              <w:pStyle w:val="ListParagraph"/>
              <w:numPr>
                <w:ilvl w:val="0"/>
                <w:numId w:val="18"/>
              </w:numPr>
              <w:jc w:val="both"/>
              <w:rPr>
                <w:rFonts w:ascii="Calibri" w:hAnsi="Calibri" w:cs="Calibri"/>
                <w:sz w:val="18"/>
                <w:szCs w:val="18"/>
              </w:rPr>
            </w:pPr>
            <w:r w:rsidRPr="009976A4">
              <w:rPr>
                <w:rFonts w:ascii="Calibri" w:hAnsi="Calibri" w:cs="Calibri"/>
                <w:sz w:val="18"/>
                <w:szCs w:val="18"/>
              </w:rPr>
              <w:t>Financing</w:t>
            </w:r>
          </w:p>
          <w:p w14:paraId="00AC463D" w14:textId="5D4ACA66" w:rsidR="00CA6F1B" w:rsidRPr="00A3695C" w:rsidRDefault="00CA6F1B" w:rsidP="00175AC5">
            <w:pPr>
              <w:pStyle w:val="ListParagraph"/>
              <w:numPr>
                <w:ilvl w:val="0"/>
                <w:numId w:val="18"/>
              </w:numPr>
              <w:jc w:val="both"/>
              <w:rPr>
                <w:rFonts w:ascii="Calibri" w:hAnsi="Calibri" w:cs="Calibri"/>
                <w:sz w:val="18"/>
                <w:szCs w:val="18"/>
              </w:rPr>
            </w:pPr>
            <w:r w:rsidRPr="009976A4">
              <w:rPr>
                <w:rFonts w:ascii="Calibri" w:hAnsi="Calibri" w:cs="Calibri"/>
                <w:sz w:val="18"/>
                <w:szCs w:val="18"/>
              </w:rPr>
              <w:t>Disaster risk financing</w:t>
            </w:r>
          </w:p>
          <w:p w14:paraId="26404E0A" w14:textId="77777777" w:rsidR="00CA6F1B" w:rsidRDefault="00CA6F1B" w:rsidP="004D5D57">
            <w:pPr>
              <w:rPr>
                <w:sz w:val="20"/>
                <w:szCs w:val="20"/>
              </w:rPr>
            </w:pPr>
          </w:p>
          <w:p w14:paraId="14751EC0" w14:textId="3DC79916" w:rsidR="00CA6F1B" w:rsidRPr="00A3695C" w:rsidRDefault="00CA6F1B" w:rsidP="00CA6F1B">
            <w:pPr>
              <w:rPr>
                <w:i/>
                <w:iCs/>
                <w:sz w:val="20"/>
                <w:szCs w:val="20"/>
              </w:rPr>
            </w:pPr>
            <w:r>
              <w:rPr>
                <w:i/>
                <w:iCs/>
                <w:sz w:val="20"/>
                <w:szCs w:val="20"/>
              </w:rPr>
              <w:t xml:space="preserve">The description should also identify which pathway(s) was used to create the linkage: </w:t>
            </w:r>
          </w:p>
          <w:p w14:paraId="51CBC702" w14:textId="32AEDD67" w:rsidR="007B6A3D" w:rsidRPr="007B6A3D" w:rsidRDefault="007B6A3D" w:rsidP="00175AC5">
            <w:pPr>
              <w:pStyle w:val="ListParagraph"/>
              <w:numPr>
                <w:ilvl w:val="0"/>
                <w:numId w:val="18"/>
              </w:numPr>
              <w:rPr>
                <w:sz w:val="20"/>
                <w:szCs w:val="20"/>
              </w:rPr>
            </w:pPr>
            <w:r w:rsidRPr="007B6A3D">
              <w:rPr>
                <w:sz w:val="20"/>
                <w:szCs w:val="20"/>
              </w:rPr>
              <w:t>Implementing a humanitarian cash response with a view to its future adoption by government</w:t>
            </w:r>
          </w:p>
          <w:p w14:paraId="221562A0" w14:textId="77777777" w:rsidR="00175AC5" w:rsidRPr="00175AC5" w:rsidRDefault="00175AC5" w:rsidP="00175AC5">
            <w:pPr>
              <w:pStyle w:val="ListParagraph"/>
              <w:numPr>
                <w:ilvl w:val="0"/>
                <w:numId w:val="18"/>
              </w:numPr>
              <w:jc w:val="both"/>
              <w:rPr>
                <w:sz w:val="20"/>
                <w:szCs w:val="20"/>
              </w:rPr>
            </w:pPr>
            <w:r w:rsidRPr="00175AC5">
              <w:rPr>
                <w:sz w:val="20"/>
                <w:szCs w:val="20"/>
              </w:rPr>
              <w:t xml:space="preserve">Putting funding through government’s social protection response (vertical/horizontal expansion or creation of a new </w:t>
            </w:r>
            <w:proofErr w:type="spellStart"/>
            <w:r w:rsidRPr="00175AC5">
              <w:rPr>
                <w:sz w:val="20"/>
                <w:szCs w:val="20"/>
              </w:rPr>
              <w:t>programme</w:t>
            </w:r>
            <w:proofErr w:type="spellEnd"/>
            <w:r w:rsidRPr="00175AC5">
              <w:rPr>
                <w:sz w:val="20"/>
                <w:szCs w:val="20"/>
              </w:rPr>
              <w:t>)</w:t>
            </w:r>
          </w:p>
          <w:p w14:paraId="4C958C44" w14:textId="77777777" w:rsidR="00175AC5" w:rsidRPr="00175AC5" w:rsidRDefault="00175AC5" w:rsidP="00175AC5">
            <w:pPr>
              <w:pStyle w:val="ListParagraph"/>
              <w:numPr>
                <w:ilvl w:val="0"/>
                <w:numId w:val="18"/>
              </w:numPr>
              <w:jc w:val="both"/>
              <w:rPr>
                <w:sz w:val="20"/>
                <w:szCs w:val="20"/>
              </w:rPr>
            </w:pPr>
            <w:r w:rsidRPr="00175AC5">
              <w:rPr>
                <w:sz w:val="20"/>
                <w:szCs w:val="20"/>
              </w:rPr>
              <w:t>Funding or implementing a humanitarian cash response that uses part of the SP system in its delivery (</w:t>
            </w:r>
            <w:proofErr w:type="gramStart"/>
            <w:r w:rsidRPr="00175AC5">
              <w:rPr>
                <w:sz w:val="20"/>
                <w:szCs w:val="20"/>
              </w:rPr>
              <w:t>e.g.</w:t>
            </w:r>
            <w:proofErr w:type="gramEnd"/>
            <w:r w:rsidRPr="00175AC5">
              <w:rPr>
                <w:sz w:val="20"/>
                <w:szCs w:val="20"/>
              </w:rPr>
              <w:t xml:space="preserve"> data/registry/payment system/staff)</w:t>
            </w:r>
          </w:p>
          <w:p w14:paraId="004B70FD" w14:textId="77777777" w:rsidR="00175AC5" w:rsidRPr="00175AC5" w:rsidRDefault="00175AC5" w:rsidP="00175AC5">
            <w:pPr>
              <w:pStyle w:val="ListParagraph"/>
              <w:numPr>
                <w:ilvl w:val="0"/>
                <w:numId w:val="18"/>
              </w:numPr>
              <w:jc w:val="both"/>
              <w:rPr>
                <w:sz w:val="20"/>
                <w:szCs w:val="20"/>
              </w:rPr>
            </w:pPr>
            <w:r w:rsidRPr="00175AC5">
              <w:rPr>
                <w:sz w:val="20"/>
                <w:szCs w:val="20"/>
              </w:rPr>
              <w:t>Providing technical assistance, system strengthening or capacity building to a government’s SP response or a humanitarian response linking with SP</w:t>
            </w:r>
          </w:p>
          <w:p w14:paraId="5239CDE3" w14:textId="77777777" w:rsidR="00175AC5" w:rsidRPr="00175AC5" w:rsidRDefault="00175AC5" w:rsidP="00175AC5">
            <w:pPr>
              <w:pStyle w:val="ListParagraph"/>
              <w:numPr>
                <w:ilvl w:val="0"/>
                <w:numId w:val="18"/>
              </w:numPr>
              <w:jc w:val="both"/>
              <w:rPr>
                <w:sz w:val="20"/>
                <w:szCs w:val="20"/>
              </w:rPr>
            </w:pPr>
            <w:r w:rsidRPr="00175AC5">
              <w:rPr>
                <w:sz w:val="20"/>
                <w:szCs w:val="20"/>
              </w:rPr>
              <w:t>Coordinating the wider humanitarian response with the government’s SP response (</w:t>
            </w:r>
            <w:proofErr w:type="gramStart"/>
            <w:r w:rsidRPr="00175AC5">
              <w:rPr>
                <w:sz w:val="20"/>
                <w:szCs w:val="20"/>
              </w:rPr>
              <w:t>e.g.</w:t>
            </w:r>
            <w:proofErr w:type="gramEnd"/>
            <w:r w:rsidRPr="00175AC5">
              <w:rPr>
                <w:sz w:val="20"/>
                <w:szCs w:val="20"/>
              </w:rPr>
              <w:t xml:space="preserve"> transfer value; targeting) for a </w:t>
            </w:r>
            <w:proofErr w:type="spellStart"/>
            <w:r w:rsidRPr="00175AC5">
              <w:rPr>
                <w:sz w:val="20"/>
                <w:szCs w:val="20"/>
              </w:rPr>
              <w:t>harmonised</w:t>
            </w:r>
            <w:proofErr w:type="spellEnd"/>
            <w:r w:rsidRPr="00175AC5">
              <w:rPr>
                <w:sz w:val="20"/>
                <w:szCs w:val="20"/>
              </w:rPr>
              <w:t xml:space="preserve"> approach that fills gaps</w:t>
            </w:r>
          </w:p>
          <w:p w14:paraId="2533A3B4" w14:textId="52D4AAA1" w:rsidR="007B6A3D" w:rsidRPr="00B726F9" w:rsidRDefault="00175AC5" w:rsidP="00175AC5">
            <w:pPr>
              <w:pStyle w:val="ListParagraph"/>
              <w:numPr>
                <w:ilvl w:val="0"/>
                <w:numId w:val="18"/>
              </w:numPr>
              <w:rPr>
                <w:sz w:val="20"/>
                <w:szCs w:val="20"/>
              </w:rPr>
            </w:pPr>
            <w:r w:rsidRPr="00175AC5">
              <w:rPr>
                <w:sz w:val="20"/>
                <w:szCs w:val="20"/>
              </w:rPr>
              <w:t>Advocating on the need for a SP response</w:t>
            </w:r>
          </w:p>
          <w:p w14:paraId="3C388DFB" w14:textId="77777777" w:rsidR="00CA6F1B" w:rsidRDefault="00CA6F1B" w:rsidP="00175AC5">
            <w:pPr>
              <w:rPr>
                <w:sz w:val="20"/>
                <w:szCs w:val="20"/>
              </w:rPr>
            </w:pPr>
          </w:p>
          <w:p w14:paraId="10270A95" w14:textId="0F654C9B" w:rsidR="00175AC5" w:rsidRPr="00175AC5" w:rsidRDefault="00175AC5" w:rsidP="00175AC5">
            <w:pPr>
              <w:rPr>
                <w:sz w:val="20"/>
                <w:szCs w:val="20"/>
              </w:rPr>
            </w:pPr>
          </w:p>
        </w:tc>
      </w:tr>
      <w:tr w:rsidR="00175AC5" w14:paraId="1E7F9590" w14:textId="77777777" w:rsidTr="003661B9">
        <w:trPr>
          <w:trHeight w:val="395"/>
        </w:trPr>
        <w:tc>
          <w:tcPr>
            <w:tcW w:w="10890" w:type="dxa"/>
            <w:shd w:val="clear" w:color="auto" w:fill="C0CED7"/>
          </w:tcPr>
          <w:p w14:paraId="4F96F5F5" w14:textId="77777777" w:rsidR="00175AC5" w:rsidRDefault="00175AC5" w:rsidP="00175AC5">
            <w:pPr>
              <w:rPr>
                <w:b/>
                <w:bCs/>
                <w:i/>
                <w:iCs/>
              </w:rPr>
            </w:pPr>
            <w:r w:rsidRPr="006861B3">
              <w:rPr>
                <w:b/>
                <w:bCs/>
                <w:i/>
                <w:iCs/>
              </w:rPr>
              <w:t>Entry Points</w:t>
            </w:r>
          </w:p>
          <w:p w14:paraId="6FD31237" w14:textId="171424F7" w:rsidR="00175AC5" w:rsidRDefault="00175AC5" w:rsidP="00F95061">
            <w:pPr>
              <w:rPr>
                <w:sz w:val="20"/>
                <w:szCs w:val="20"/>
              </w:rPr>
            </w:pPr>
            <w:r w:rsidRPr="004D5D57">
              <w:rPr>
                <w:sz w:val="20"/>
                <w:szCs w:val="20"/>
              </w:rPr>
              <w:t xml:space="preserve">Outline main entry points for humanitarian actors to </w:t>
            </w:r>
            <w:r>
              <w:rPr>
                <w:sz w:val="20"/>
                <w:szCs w:val="20"/>
              </w:rPr>
              <w:t>engage with the national system, either through direct link</w:t>
            </w:r>
            <w:r w:rsidR="00F95061">
              <w:rPr>
                <w:sz w:val="20"/>
                <w:szCs w:val="20"/>
              </w:rPr>
              <w:t>ages</w:t>
            </w:r>
            <w:r>
              <w:rPr>
                <w:sz w:val="20"/>
                <w:szCs w:val="20"/>
              </w:rPr>
              <w:t xml:space="preserve"> with the national </w:t>
            </w:r>
            <w:proofErr w:type="spellStart"/>
            <w:r>
              <w:rPr>
                <w:sz w:val="20"/>
                <w:szCs w:val="20"/>
              </w:rPr>
              <w:t>programmes</w:t>
            </w:r>
            <w:proofErr w:type="spellEnd"/>
            <w:r>
              <w:rPr>
                <w:sz w:val="20"/>
                <w:szCs w:val="20"/>
              </w:rPr>
              <w:t xml:space="preserve"> or by sharing innovative practices that can be applied to the national system</w:t>
            </w:r>
            <w:r w:rsidR="00F95061">
              <w:rPr>
                <w:sz w:val="20"/>
                <w:szCs w:val="20"/>
              </w:rPr>
              <w:t xml:space="preserve">. The section should also highlight bottlenecks or challenges with linking to national </w:t>
            </w:r>
            <w:proofErr w:type="spellStart"/>
            <w:r w:rsidR="00F95061">
              <w:rPr>
                <w:sz w:val="20"/>
                <w:szCs w:val="20"/>
              </w:rPr>
              <w:t>programmes</w:t>
            </w:r>
            <w:proofErr w:type="spellEnd"/>
            <w:r w:rsidR="00F95061">
              <w:rPr>
                <w:sz w:val="20"/>
                <w:szCs w:val="20"/>
              </w:rPr>
              <w:t xml:space="preserve">. </w:t>
            </w:r>
          </w:p>
          <w:p w14:paraId="13FE513F" w14:textId="7089C18C" w:rsidR="00F95061" w:rsidRPr="004D429C" w:rsidRDefault="00F95061" w:rsidP="00F95061">
            <w:pPr>
              <w:rPr>
                <w:sz w:val="20"/>
                <w:szCs w:val="20"/>
              </w:rPr>
            </w:pPr>
          </w:p>
        </w:tc>
      </w:tr>
      <w:tr w:rsidR="00175AC5" w14:paraId="5B1981C5" w14:textId="77777777" w:rsidTr="003661B9">
        <w:trPr>
          <w:trHeight w:val="395"/>
        </w:trPr>
        <w:tc>
          <w:tcPr>
            <w:tcW w:w="10890" w:type="dxa"/>
            <w:shd w:val="clear" w:color="auto" w:fill="EFD0DA"/>
          </w:tcPr>
          <w:p w14:paraId="04A39417" w14:textId="77777777" w:rsidR="00175AC5" w:rsidRDefault="00175AC5" w:rsidP="00175AC5">
            <w:pPr>
              <w:rPr>
                <w:b/>
                <w:bCs/>
                <w:i/>
                <w:iCs/>
              </w:rPr>
            </w:pPr>
            <w:r>
              <w:rPr>
                <w:b/>
                <w:bCs/>
                <w:i/>
                <w:iCs/>
              </w:rPr>
              <w:t>Key resources</w:t>
            </w:r>
          </w:p>
          <w:p w14:paraId="1F996738" w14:textId="481B2CF7" w:rsidR="00175AC5" w:rsidRPr="00A3695C" w:rsidRDefault="00175AC5" w:rsidP="00175AC5">
            <w:r w:rsidRPr="00A3695C">
              <w:rPr>
                <w:sz w:val="20"/>
                <w:szCs w:val="20"/>
              </w:rPr>
              <w:t>List of key resources</w:t>
            </w:r>
            <w:r>
              <w:rPr>
                <w:sz w:val="20"/>
                <w:szCs w:val="20"/>
              </w:rPr>
              <w:t xml:space="preserve"> with links</w:t>
            </w:r>
          </w:p>
        </w:tc>
      </w:tr>
    </w:tbl>
    <w:p w14:paraId="59B33150" w14:textId="2175F986" w:rsidR="00344176" w:rsidRDefault="00344176"/>
    <w:p w14:paraId="45F2573B" w14:textId="50939F21" w:rsidR="003C46FC" w:rsidRDefault="003C46FC" w:rsidP="003C46FC">
      <w:pPr>
        <w:ind w:left="-567"/>
      </w:pPr>
      <w:r>
        <w:t>Author:</w:t>
      </w:r>
    </w:p>
    <w:p w14:paraId="50ECF9F7" w14:textId="77777777" w:rsidR="003C46FC" w:rsidRPr="003C46FC" w:rsidRDefault="003C46FC" w:rsidP="003C46FC">
      <w:pPr>
        <w:spacing w:after="0" w:line="240" w:lineRule="auto"/>
        <w:ind w:left="-567"/>
        <w:rPr>
          <w:rFonts w:ascii="Times New Roman" w:eastAsia="Times New Roman" w:hAnsi="Times New Roman" w:cs="Times New Roman"/>
          <w:sz w:val="24"/>
          <w:szCs w:val="24"/>
          <w:lang w:val="en-GB" w:eastAsia="en-GB"/>
        </w:rPr>
      </w:pPr>
      <w:r w:rsidRPr="003C46FC">
        <w:rPr>
          <w:rFonts w:ascii="Segoe UI" w:eastAsia="Times New Roman" w:hAnsi="Segoe UI" w:cs="Segoe UI"/>
          <w:color w:val="000000"/>
          <w:sz w:val="21"/>
          <w:szCs w:val="21"/>
          <w:lang w:val="en-GB" w:eastAsia="en-GB"/>
        </w:rPr>
        <w:t>This case study has been commissioned by the Cash Learning Partnership (</w:t>
      </w:r>
      <w:proofErr w:type="spellStart"/>
      <w:r w:rsidRPr="003C46FC">
        <w:rPr>
          <w:rFonts w:ascii="Segoe UI" w:eastAsia="Times New Roman" w:hAnsi="Segoe UI" w:cs="Segoe UI"/>
          <w:color w:val="000000"/>
          <w:sz w:val="21"/>
          <w:szCs w:val="21"/>
          <w:lang w:val="en-GB" w:eastAsia="en-GB"/>
        </w:rPr>
        <w:t>CaLP</w:t>
      </w:r>
      <w:proofErr w:type="spellEnd"/>
      <w:r w:rsidRPr="003C46FC">
        <w:rPr>
          <w:rFonts w:ascii="Segoe UI" w:eastAsia="Times New Roman" w:hAnsi="Segoe UI" w:cs="Segoe UI"/>
          <w:color w:val="000000"/>
          <w:sz w:val="21"/>
          <w:szCs w:val="21"/>
          <w:lang w:val="en-GB" w:eastAsia="en-GB"/>
        </w:rPr>
        <w:t>) and it was generously funded by the German Federal Foreign Office (GFFO)</w:t>
      </w:r>
    </w:p>
    <w:p w14:paraId="4A4CA6CE" w14:textId="17C9645A" w:rsidR="003C46FC" w:rsidRDefault="003C46FC" w:rsidP="003C46FC">
      <w:pPr>
        <w:ind w:hanging="567"/>
      </w:pPr>
      <w:r>
        <w:rPr>
          <w:noProof/>
        </w:rPr>
        <w:drawing>
          <wp:inline distT="0" distB="0" distL="0" distR="0" wp14:anchorId="241B87C5" wp14:editId="092AA5A0">
            <wp:extent cx="1614488" cy="1098197"/>
            <wp:effectExtent l="0" t="0" r="0" b="0"/>
            <wp:docPr id="2" name="Picture 2"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3446" cy="1124697"/>
                    </a:xfrm>
                    <a:prstGeom prst="rect">
                      <a:avLst/>
                    </a:prstGeom>
                  </pic:spPr>
                </pic:pic>
              </a:graphicData>
            </a:graphic>
          </wp:inline>
        </w:drawing>
      </w:r>
    </w:p>
    <w:sectPr w:rsidR="003C46FC" w:rsidSect="00F810B6">
      <w:headerReference w:type="default" r:id="rId14"/>
      <w:pgSz w:w="12240" w:h="15840"/>
      <w:pgMar w:top="540" w:right="540" w:bottom="36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3D04" w14:textId="77777777" w:rsidR="00503D02" w:rsidRDefault="00503D02" w:rsidP="00EE3FD2">
      <w:pPr>
        <w:spacing w:after="0" w:line="240" w:lineRule="auto"/>
      </w:pPr>
      <w:r>
        <w:separator/>
      </w:r>
    </w:p>
  </w:endnote>
  <w:endnote w:type="continuationSeparator" w:id="0">
    <w:p w14:paraId="35890F28" w14:textId="77777777" w:rsidR="00503D02" w:rsidRDefault="00503D02" w:rsidP="00EE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3EED" w14:textId="77777777" w:rsidR="00503D02" w:rsidRDefault="00503D02" w:rsidP="00EE3FD2">
      <w:pPr>
        <w:spacing w:after="0" w:line="240" w:lineRule="auto"/>
      </w:pPr>
      <w:r>
        <w:separator/>
      </w:r>
    </w:p>
  </w:footnote>
  <w:footnote w:type="continuationSeparator" w:id="0">
    <w:p w14:paraId="622775B7" w14:textId="77777777" w:rsidR="00503D02" w:rsidRDefault="00503D02" w:rsidP="00EE3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A3DD" w14:textId="77777777" w:rsidR="00F810B6" w:rsidRDefault="00F810B6" w:rsidP="00F810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369"/>
    <w:multiLevelType w:val="hybridMultilevel"/>
    <w:tmpl w:val="DB96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5577"/>
    <w:multiLevelType w:val="hybridMultilevel"/>
    <w:tmpl w:val="0ADE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14EF"/>
    <w:multiLevelType w:val="hybridMultilevel"/>
    <w:tmpl w:val="DEDE87FA"/>
    <w:lvl w:ilvl="0" w:tplc="28C44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65D3B"/>
    <w:multiLevelType w:val="hybridMultilevel"/>
    <w:tmpl w:val="CF8A75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596"/>
    <w:multiLevelType w:val="hybridMultilevel"/>
    <w:tmpl w:val="2C9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D2CF4"/>
    <w:multiLevelType w:val="hybridMultilevel"/>
    <w:tmpl w:val="90940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27EAB"/>
    <w:multiLevelType w:val="hybridMultilevel"/>
    <w:tmpl w:val="762A9E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104816"/>
    <w:multiLevelType w:val="hybridMultilevel"/>
    <w:tmpl w:val="6EC8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16C07"/>
    <w:multiLevelType w:val="hybridMultilevel"/>
    <w:tmpl w:val="4B66D632"/>
    <w:lvl w:ilvl="0" w:tplc="9A5E8F6A">
      <w:start w:val="1"/>
      <w:numFmt w:val="decimal"/>
      <w:lvlText w:val="%1."/>
      <w:lvlJc w:val="left"/>
      <w:pPr>
        <w:ind w:left="720" w:hanging="360"/>
      </w:pPr>
      <w:rPr>
        <w:rFonts w:ascii="Calibri" w:hAnsi="Calibri" w:cs="Calibri" w:hint="default"/>
        <w:i w:val="0"/>
        <w:sz w:val="18"/>
      </w:rPr>
    </w:lvl>
    <w:lvl w:ilvl="1" w:tplc="FA60D7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24484"/>
    <w:multiLevelType w:val="hybridMultilevel"/>
    <w:tmpl w:val="689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05803"/>
    <w:multiLevelType w:val="hybridMultilevel"/>
    <w:tmpl w:val="85AA5D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64D46"/>
    <w:multiLevelType w:val="hybridMultilevel"/>
    <w:tmpl w:val="55CC0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06202"/>
    <w:multiLevelType w:val="hybridMultilevel"/>
    <w:tmpl w:val="9784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2793F"/>
    <w:multiLevelType w:val="hybridMultilevel"/>
    <w:tmpl w:val="6F74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85E56"/>
    <w:multiLevelType w:val="hybridMultilevel"/>
    <w:tmpl w:val="625E367A"/>
    <w:lvl w:ilvl="0" w:tplc="9A5E8F6A">
      <w:start w:val="1"/>
      <w:numFmt w:val="decimal"/>
      <w:lvlText w:val="%1."/>
      <w:lvlJc w:val="left"/>
      <w:pPr>
        <w:ind w:left="720" w:hanging="360"/>
      </w:pPr>
      <w:rPr>
        <w:rFonts w:ascii="Calibri" w:hAnsi="Calibri" w:cs="Calibri"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53EC7"/>
    <w:multiLevelType w:val="hybridMultilevel"/>
    <w:tmpl w:val="2BF2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D7FCA"/>
    <w:multiLevelType w:val="hybridMultilevel"/>
    <w:tmpl w:val="19F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334CD"/>
    <w:multiLevelType w:val="hybridMultilevel"/>
    <w:tmpl w:val="BBF0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D2801"/>
    <w:multiLevelType w:val="hybridMultilevel"/>
    <w:tmpl w:val="C88E718A"/>
    <w:lvl w:ilvl="0" w:tplc="7F24FC26">
      <w:start w:val="1"/>
      <w:numFmt w:val="decimal"/>
      <w:lvlText w:val="%1."/>
      <w:lvlJc w:val="left"/>
      <w:pPr>
        <w:ind w:left="720" w:hanging="360"/>
      </w:pPr>
      <w:rPr>
        <w:rFonts w:ascii="Calibri" w:hAnsi="Calibri" w:cs="Calibri"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74C4F"/>
    <w:multiLevelType w:val="hybridMultilevel"/>
    <w:tmpl w:val="5A922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
  </w:num>
  <w:num w:numId="4">
    <w:abstractNumId w:val="17"/>
  </w:num>
  <w:num w:numId="5">
    <w:abstractNumId w:val="16"/>
  </w:num>
  <w:num w:numId="6">
    <w:abstractNumId w:val="4"/>
  </w:num>
  <w:num w:numId="7">
    <w:abstractNumId w:val="12"/>
  </w:num>
  <w:num w:numId="8">
    <w:abstractNumId w:val="18"/>
  </w:num>
  <w:num w:numId="9">
    <w:abstractNumId w:val="8"/>
  </w:num>
  <w:num w:numId="10">
    <w:abstractNumId w:val="14"/>
  </w:num>
  <w:num w:numId="11">
    <w:abstractNumId w:val="10"/>
  </w:num>
  <w:num w:numId="12">
    <w:abstractNumId w:val="0"/>
  </w:num>
  <w:num w:numId="13">
    <w:abstractNumId w:val="11"/>
  </w:num>
  <w:num w:numId="14">
    <w:abstractNumId w:val="6"/>
  </w:num>
  <w:num w:numId="15">
    <w:abstractNumId w:val="3"/>
  </w:num>
  <w:num w:numId="16">
    <w:abstractNumId w:val="5"/>
  </w:num>
  <w:num w:numId="17">
    <w:abstractNumId w:val="19"/>
  </w:num>
  <w:num w:numId="18">
    <w:abstractNumId w:val="7"/>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D1"/>
    <w:rsid w:val="0000239D"/>
    <w:rsid w:val="00014BE0"/>
    <w:rsid w:val="000244FF"/>
    <w:rsid w:val="00031035"/>
    <w:rsid w:val="0003529B"/>
    <w:rsid w:val="00040864"/>
    <w:rsid w:val="00042490"/>
    <w:rsid w:val="0004716C"/>
    <w:rsid w:val="00051401"/>
    <w:rsid w:val="00064D99"/>
    <w:rsid w:val="00065A75"/>
    <w:rsid w:val="00077A57"/>
    <w:rsid w:val="00080F00"/>
    <w:rsid w:val="00081CA7"/>
    <w:rsid w:val="000A4351"/>
    <w:rsid w:val="000B7C6D"/>
    <w:rsid w:val="000D3927"/>
    <w:rsid w:val="000D5705"/>
    <w:rsid w:val="000F2D30"/>
    <w:rsid w:val="000F3B46"/>
    <w:rsid w:val="000F4053"/>
    <w:rsid w:val="000F681B"/>
    <w:rsid w:val="000F7D3C"/>
    <w:rsid w:val="0011431F"/>
    <w:rsid w:val="00120320"/>
    <w:rsid w:val="00122A3F"/>
    <w:rsid w:val="00126533"/>
    <w:rsid w:val="00136C88"/>
    <w:rsid w:val="00145046"/>
    <w:rsid w:val="00164125"/>
    <w:rsid w:val="00167DDE"/>
    <w:rsid w:val="00175AC5"/>
    <w:rsid w:val="00181898"/>
    <w:rsid w:val="0018710D"/>
    <w:rsid w:val="00193E55"/>
    <w:rsid w:val="00194738"/>
    <w:rsid w:val="001A4455"/>
    <w:rsid w:val="001B4BB0"/>
    <w:rsid w:val="001B633A"/>
    <w:rsid w:val="001E3102"/>
    <w:rsid w:val="001F0A31"/>
    <w:rsid w:val="001F200E"/>
    <w:rsid w:val="001F4438"/>
    <w:rsid w:val="001F6FCF"/>
    <w:rsid w:val="00203FF2"/>
    <w:rsid w:val="00221A99"/>
    <w:rsid w:val="0023207A"/>
    <w:rsid w:val="00233C6E"/>
    <w:rsid w:val="00243DCD"/>
    <w:rsid w:val="00247805"/>
    <w:rsid w:val="00252651"/>
    <w:rsid w:val="00252C70"/>
    <w:rsid w:val="002538FE"/>
    <w:rsid w:val="002603F1"/>
    <w:rsid w:val="00261243"/>
    <w:rsid w:val="002632C2"/>
    <w:rsid w:val="00266712"/>
    <w:rsid w:val="0028431F"/>
    <w:rsid w:val="00284E51"/>
    <w:rsid w:val="00291011"/>
    <w:rsid w:val="002937E0"/>
    <w:rsid w:val="0029454C"/>
    <w:rsid w:val="00294F91"/>
    <w:rsid w:val="002B1562"/>
    <w:rsid w:val="002B1740"/>
    <w:rsid w:val="002C2004"/>
    <w:rsid w:val="002C79D5"/>
    <w:rsid w:val="002D6FED"/>
    <w:rsid w:val="002F2F9B"/>
    <w:rsid w:val="003218A2"/>
    <w:rsid w:val="00321F18"/>
    <w:rsid w:val="003255F8"/>
    <w:rsid w:val="003263C9"/>
    <w:rsid w:val="00330388"/>
    <w:rsid w:val="003322CD"/>
    <w:rsid w:val="00333F6A"/>
    <w:rsid w:val="0033508F"/>
    <w:rsid w:val="00337D6C"/>
    <w:rsid w:val="00340F25"/>
    <w:rsid w:val="00344176"/>
    <w:rsid w:val="00345831"/>
    <w:rsid w:val="003657E7"/>
    <w:rsid w:val="003661B9"/>
    <w:rsid w:val="00371E82"/>
    <w:rsid w:val="00374B1B"/>
    <w:rsid w:val="00374EC1"/>
    <w:rsid w:val="00377A9D"/>
    <w:rsid w:val="00386EDD"/>
    <w:rsid w:val="003946BB"/>
    <w:rsid w:val="003B647E"/>
    <w:rsid w:val="003B7775"/>
    <w:rsid w:val="003C2EFF"/>
    <w:rsid w:val="003C46FC"/>
    <w:rsid w:val="003E0205"/>
    <w:rsid w:val="003E1CAC"/>
    <w:rsid w:val="003E5743"/>
    <w:rsid w:val="003F4E49"/>
    <w:rsid w:val="00402DFC"/>
    <w:rsid w:val="00403323"/>
    <w:rsid w:val="00406ACD"/>
    <w:rsid w:val="00411CB1"/>
    <w:rsid w:val="00413388"/>
    <w:rsid w:val="00416118"/>
    <w:rsid w:val="00416664"/>
    <w:rsid w:val="00422598"/>
    <w:rsid w:val="00423C24"/>
    <w:rsid w:val="00441E7F"/>
    <w:rsid w:val="004522FE"/>
    <w:rsid w:val="00453186"/>
    <w:rsid w:val="0045504E"/>
    <w:rsid w:val="0045754F"/>
    <w:rsid w:val="00480E49"/>
    <w:rsid w:val="00484150"/>
    <w:rsid w:val="00487270"/>
    <w:rsid w:val="00490B2B"/>
    <w:rsid w:val="00491951"/>
    <w:rsid w:val="00494CDD"/>
    <w:rsid w:val="004968C7"/>
    <w:rsid w:val="004A2F83"/>
    <w:rsid w:val="004A53B3"/>
    <w:rsid w:val="004A6E09"/>
    <w:rsid w:val="004B3412"/>
    <w:rsid w:val="004D429C"/>
    <w:rsid w:val="004D4829"/>
    <w:rsid w:val="004E2171"/>
    <w:rsid w:val="004E4583"/>
    <w:rsid w:val="00503D02"/>
    <w:rsid w:val="005319A0"/>
    <w:rsid w:val="00531CB3"/>
    <w:rsid w:val="0053566D"/>
    <w:rsid w:val="00550521"/>
    <w:rsid w:val="005528B5"/>
    <w:rsid w:val="00563C4D"/>
    <w:rsid w:val="00574AA3"/>
    <w:rsid w:val="00575D19"/>
    <w:rsid w:val="00581F31"/>
    <w:rsid w:val="00595192"/>
    <w:rsid w:val="005B29BC"/>
    <w:rsid w:val="005B4A45"/>
    <w:rsid w:val="005C311A"/>
    <w:rsid w:val="005C72E1"/>
    <w:rsid w:val="005D151E"/>
    <w:rsid w:val="005D2046"/>
    <w:rsid w:val="005D3F0E"/>
    <w:rsid w:val="005D5C4A"/>
    <w:rsid w:val="005D5C6E"/>
    <w:rsid w:val="005F085A"/>
    <w:rsid w:val="005F3841"/>
    <w:rsid w:val="00612ABA"/>
    <w:rsid w:val="00640343"/>
    <w:rsid w:val="0064634D"/>
    <w:rsid w:val="0065571E"/>
    <w:rsid w:val="00667CF5"/>
    <w:rsid w:val="00675D8A"/>
    <w:rsid w:val="00675E67"/>
    <w:rsid w:val="006861B3"/>
    <w:rsid w:val="006934A8"/>
    <w:rsid w:val="0069798D"/>
    <w:rsid w:val="006C0E44"/>
    <w:rsid w:val="006C6668"/>
    <w:rsid w:val="006E64DD"/>
    <w:rsid w:val="006E7F6D"/>
    <w:rsid w:val="006F2D2E"/>
    <w:rsid w:val="007025A6"/>
    <w:rsid w:val="00705A35"/>
    <w:rsid w:val="00705BC6"/>
    <w:rsid w:val="007208E3"/>
    <w:rsid w:val="0073225C"/>
    <w:rsid w:val="007378DC"/>
    <w:rsid w:val="00743BE2"/>
    <w:rsid w:val="007447C5"/>
    <w:rsid w:val="00745B80"/>
    <w:rsid w:val="00745DA2"/>
    <w:rsid w:val="007673D8"/>
    <w:rsid w:val="0077042B"/>
    <w:rsid w:val="00785DB2"/>
    <w:rsid w:val="0079403C"/>
    <w:rsid w:val="00796513"/>
    <w:rsid w:val="00797D0C"/>
    <w:rsid w:val="007A093B"/>
    <w:rsid w:val="007A61E5"/>
    <w:rsid w:val="007B6A3D"/>
    <w:rsid w:val="007B786F"/>
    <w:rsid w:val="007C683A"/>
    <w:rsid w:val="007D21F9"/>
    <w:rsid w:val="007D229D"/>
    <w:rsid w:val="007D4C02"/>
    <w:rsid w:val="007D5732"/>
    <w:rsid w:val="007D5797"/>
    <w:rsid w:val="007E192F"/>
    <w:rsid w:val="007E52A6"/>
    <w:rsid w:val="007E683E"/>
    <w:rsid w:val="007F6B2C"/>
    <w:rsid w:val="00800351"/>
    <w:rsid w:val="00802ABE"/>
    <w:rsid w:val="008124AF"/>
    <w:rsid w:val="00816A84"/>
    <w:rsid w:val="00817FF0"/>
    <w:rsid w:val="00820F94"/>
    <w:rsid w:val="00825626"/>
    <w:rsid w:val="00850DEC"/>
    <w:rsid w:val="00853250"/>
    <w:rsid w:val="00855455"/>
    <w:rsid w:val="0085647F"/>
    <w:rsid w:val="0086078A"/>
    <w:rsid w:val="00860AD9"/>
    <w:rsid w:val="008654EE"/>
    <w:rsid w:val="00867EDD"/>
    <w:rsid w:val="00884EE9"/>
    <w:rsid w:val="008867F6"/>
    <w:rsid w:val="00891EBC"/>
    <w:rsid w:val="008975D1"/>
    <w:rsid w:val="008A0096"/>
    <w:rsid w:val="008B189C"/>
    <w:rsid w:val="008B73EA"/>
    <w:rsid w:val="008C3354"/>
    <w:rsid w:val="008C59A4"/>
    <w:rsid w:val="008D3FC8"/>
    <w:rsid w:val="008F71D6"/>
    <w:rsid w:val="008F7854"/>
    <w:rsid w:val="0090018C"/>
    <w:rsid w:val="00900338"/>
    <w:rsid w:val="00916E3D"/>
    <w:rsid w:val="00920D6E"/>
    <w:rsid w:val="00922930"/>
    <w:rsid w:val="009305D3"/>
    <w:rsid w:val="0093370F"/>
    <w:rsid w:val="00967EAC"/>
    <w:rsid w:val="00974BE9"/>
    <w:rsid w:val="009910A0"/>
    <w:rsid w:val="00991BD4"/>
    <w:rsid w:val="0099258A"/>
    <w:rsid w:val="009976A4"/>
    <w:rsid w:val="009C7692"/>
    <w:rsid w:val="009C7BA2"/>
    <w:rsid w:val="009D3177"/>
    <w:rsid w:val="009D34B3"/>
    <w:rsid w:val="009E1C56"/>
    <w:rsid w:val="00A03203"/>
    <w:rsid w:val="00A228A1"/>
    <w:rsid w:val="00A259FF"/>
    <w:rsid w:val="00A25C37"/>
    <w:rsid w:val="00A26755"/>
    <w:rsid w:val="00A32420"/>
    <w:rsid w:val="00A32E2B"/>
    <w:rsid w:val="00A3695C"/>
    <w:rsid w:val="00A42E78"/>
    <w:rsid w:val="00A45DFC"/>
    <w:rsid w:val="00A50A91"/>
    <w:rsid w:val="00A5590B"/>
    <w:rsid w:val="00A57A20"/>
    <w:rsid w:val="00A61F18"/>
    <w:rsid w:val="00A6601E"/>
    <w:rsid w:val="00A73194"/>
    <w:rsid w:val="00A75179"/>
    <w:rsid w:val="00A81EEE"/>
    <w:rsid w:val="00AA343D"/>
    <w:rsid w:val="00AB0BE8"/>
    <w:rsid w:val="00AB3395"/>
    <w:rsid w:val="00AB6C5B"/>
    <w:rsid w:val="00AC0A54"/>
    <w:rsid w:val="00AD22F7"/>
    <w:rsid w:val="00AD5ACF"/>
    <w:rsid w:val="00AD5BED"/>
    <w:rsid w:val="00AE5766"/>
    <w:rsid w:val="00B003CF"/>
    <w:rsid w:val="00B03748"/>
    <w:rsid w:val="00B04D8C"/>
    <w:rsid w:val="00B2124E"/>
    <w:rsid w:val="00B36FC1"/>
    <w:rsid w:val="00B40B93"/>
    <w:rsid w:val="00B4709C"/>
    <w:rsid w:val="00B51185"/>
    <w:rsid w:val="00B623DE"/>
    <w:rsid w:val="00B648BD"/>
    <w:rsid w:val="00B726F9"/>
    <w:rsid w:val="00B75C02"/>
    <w:rsid w:val="00B82580"/>
    <w:rsid w:val="00B87C48"/>
    <w:rsid w:val="00B954AC"/>
    <w:rsid w:val="00BA7591"/>
    <w:rsid w:val="00BB2D2D"/>
    <w:rsid w:val="00BB441F"/>
    <w:rsid w:val="00BC2206"/>
    <w:rsid w:val="00BC503F"/>
    <w:rsid w:val="00BC6422"/>
    <w:rsid w:val="00BD022F"/>
    <w:rsid w:val="00BE1A76"/>
    <w:rsid w:val="00BE60AF"/>
    <w:rsid w:val="00BF04DE"/>
    <w:rsid w:val="00BF4CC6"/>
    <w:rsid w:val="00C00531"/>
    <w:rsid w:val="00C03E40"/>
    <w:rsid w:val="00C15A79"/>
    <w:rsid w:val="00C17C2C"/>
    <w:rsid w:val="00C25564"/>
    <w:rsid w:val="00C4149B"/>
    <w:rsid w:val="00C648EE"/>
    <w:rsid w:val="00C714ED"/>
    <w:rsid w:val="00C71C5A"/>
    <w:rsid w:val="00C82056"/>
    <w:rsid w:val="00C86558"/>
    <w:rsid w:val="00CA3383"/>
    <w:rsid w:val="00CA6F1B"/>
    <w:rsid w:val="00CB371D"/>
    <w:rsid w:val="00CB6768"/>
    <w:rsid w:val="00CC0DB4"/>
    <w:rsid w:val="00CC7CF7"/>
    <w:rsid w:val="00CD34B5"/>
    <w:rsid w:val="00CE0F6F"/>
    <w:rsid w:val="00CE4405"/>
    <w:rsid w:val="00CF0322"/>
    <w:rsid w:val="00CF080A"/>
    <w:rsid w:val="00CF2AF0"/>
    <w:rsid w:val="00CF479D"/>
    <w:rsid w:val="00D03D80"/>
    <w:rsid w:val="00D043DF"/>
    <w:rsid w:val="00D05889"/>
    <w:rsid w:val="00D10D2D"/>
    <w:rsid w:val="00D20082"/>
    <w:rsid w:val="00D30C9B"/>
    <w:rsid w:val="00D31148"/>
    <w:rsid w:val="00D41010"/>
    <w:rsid w:val="00D464F1"/>
    <w:rsid w:val="00D5256F"/>
    <w:rsid w:val="00D554E1"/>
    <w:rsid w:val="00D6275B"/>
    <w:rsid w:val="00D721CA"/>
    <w:rsid w:val="00D76775"/>
    <w:rsid w:val="00D82211"/>
    <w:rsid w:val="00D84955"/>
    <w:rsid w:val="00D97635"/>
    <w:rsid w:val="00DA0954"/>
    <w:rsid w:val="00DA28A2"/>
    <w:rsid w:val="00DA37D9"/>
    <w:rsid w:val="00DA3EA0"/>
    <w:rsid w:val="00DB06F7"/>
    <w:rsid w:val="00DB0AE1"/>
    <w:rsid w:val="00DB52D3"/>
    <w:rsid w:val="00DC0116"/>
    <w:rsid w:val="00DC09F5"/>
    <w:rsid w:val="00DC172E"/>
    <w:rsid w:val="00DD4304"/>
    <w:rsid w:val="00DE0F17"/>
    <w:rsid w:val="00DE6083"/>
    <w:rsid w:val="00DE775F"/>
    <w:rsid w:val="00DF64F1"/>
    <w:rsid w:val="00E00838"/>
    <w:rsid w:val="00E248A7"/>
    <w:rsid w:val="00E2659F"/>
    <w:rsid w:val="00E26FE5"/>
    <w:rsid w:val="00E320DA"/>
    <w:rsid w:val="00E33061"/>
    <w:rsid w:val="00E3493D"/>
    <w:rsid w:val="00E3725F"/>
    <w:rsid w:val="00E5656A"/>
    <w:rsid w:val="00E62508"/>
    <w:rsid w:val="00E66CB3"/>
    <w:rsid w:val="00E70382"/>
    <w:rsid w:val="00E90C65"/>
    <w:rsid w:val="00E95748"/>
    <w:rsid w:val="00E959E3"/>
    <w:rsid w:val="00E968EB"/>
    <w:rsid w:val="00E971F2"/>
    <w:rsid w:val="00EA3E5E"/>
    <w:rsid w:val="00EB2C7B"/>
    <w:rsid w:val="00EB6570"/>
    <w:rsid w:val="00EB7CD7"/>
    <w:rsid w:val="00EC5D97"/>
    <w:rsid w:val="00EC60EF"/>
    <w:rsid w:val="00ED4E57"/>
    <w:rsid w:val="00EE1EF3"/>
    <w:rsid w:val="00EE3FD2"/>
    <w:rsid w:val="00EF011A"/>
    <w:rsid w:val="00F01829"/>
    <w:rsid w:val="00F1555F"/>
    <w:rsid w:val="00F170ED"/>
    <w:rsid w:val="00F20637"/>
    <w:rsid w:val="00F32627"/>
    <w:rsid w:val="00F36996"/>
    <w:rsid w:val="00F378E1"/>
    <w:rsid w:val="00F406F1"/>
    <w:rsid w:val="00F45DA1"/>
    <w:rsid w:val="00F647A1"/>
    <w:rsid w:val="00F65D03"/>
    <w:rsid w:val="00F66C89"/>
    <w:rsid w:val="00F71D96"/>
    <w:rsid w:val="00F810B6"/>
    <w:rsid w:val="00F95061"/>
    <w:rsid w:val="00F96608"/>
    <w:rsid w:val="00FA1605"/>
    <w:rsid w:val="00FC0AE8"/>
    <w:rsid w:val="00FC54FE"/>
    <w:rsid w:val="00FD186C"/>
    <w:rsid w:val="00FE41D5"/>
    <w:rsid w:val="093DA699"/>
    <w:rsid w:val="0B8CC53E"/>
    <w:rsid w:val="100CEFC1"/>
    <w:rsid w:val="1F7B061D"/>
    <w:rsid w:val="276CEFA5"/>
    <w:rsid w:val="321CB6E7"/>
    <w:rsid w:val="3548E58C"/>
    <w:rsid w:val="354B4381"/>
    <w:rsid w:val="38834D4B"/>
    <w:rsid w:val="3895E06D"/>
    <w:rsid w:val="3F4FBD3F"/>
    <w:rsid w:val="420527C3"/>
    <w:rsid w:val="4D3469BE"/>
    <w:rsid w:val="508605A2"/>
    <w:rsid w:val="53BE71FC"/>
    <w:rsid w:val="614C72CD"/>
    <w:rsid w:val="69F08219"/>
    <w:rsid w:val="71C11DC4"/>
    <w:rsid w:val="723DAE58"/>
    <w:rsid w:val="743952F5"/>
    <w:rsid w:val="7DAF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E8EB"/>
  <w15:chartTrackingRefBased/>
  <w15:docId w15:val="{C1EE0371-9BEA-4E5F-99CF-F0FC9140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186"/>
    <w:pPr>
      <w:ind w:left="720"/>
      <w:contextualSpacing/>
    </w:pPr>
  </w:style>
  <w:style w:type="character" w:styleId="Hyperlink">
    <w:name w:val="Hyperlink"/>
    <w:basedOn w:val="DefaultParagraphFont"/>
    <w:uiPriority w:val="99"/>
    <w:unhideWhenUsed/>
    <w:rsid w:val="003E5743"/>
    <w:rPr>
      <w:color w:val="0563C1" w:themeColor="hyperlink"/>
      <w:u w:val="single"/>
    </w:rPr>
  </w:style>
  <w:style w:type="character" w:styleId="UnresolvedMention">
    <w:name w:val="Unresolved Mention"/>
    <w:basedOn w:val="DefaultParagraphFont"/>
    <w:uiPriority w:val="99"/>
    <w:semiHidden/>
    <w:unhideWhenUsed/>
    <w:rsid w:val="003E5743"/>
    <w:rPr>
      <w:color w:val="605E5C"/>
      <w:shd w:val="clear" w:color="auto" w:fill="E1DFDD"/>
    </w:rPr>
  </w:style>
  <w:style w:type="paragraph" w:styleId="NormalWeb">
    <w:name w:val="Normal (Web)"/>
    <w:basedOn w:val="Normal"/>
    <w:uiPriority w:val="99"/>
    <w:semiHidden/>
    <w:unhideWhenUsed/>
    <w:rsid w:val="004033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26533"/>
    <w:rPr>
      <w:color w:val="954F72" w:themeColor="followedHyperlink"/>
      <w:u w:val="single"/>
    </w:rPr>
  </w:style>
  <w:style w:type="character" w:styleId="CommentReference">
    <w:name w:val="annotation reference"/>
    <w:basedOn w:val="DefaultParagraphFont"/>
    <w:uiPriority w:val="99"/>
    <w:semiHidden/>
    <w:unhideWhenUsed/>
    <w:rsid w:val="00A45DFC"/>
    <w:rPr>
      <w:sz w:val="16"/>
      <w:szCs w:val="16"/>
    </w:rPr>
  </w:style>
  <w:style w:type="paragraph" w:styleId="CommentText">
    <w:name w:val="annotation text"/>
    <w:basedOn w:val="Normal"/>
    <w:link w:val="CommentTextChar"/>
    <w:uiPriority w:val="99"/>
    <w:semiHidden/>
    <w:unhideWhenUsed/>
    <w:rsid w:val="00A45DFC"/>
    <w:pPr>
      <w:spacing w:line="240" w:lineRule="auto"/>
    </w:pPr>
    <w:rPr>
      <w:sz w:val="20"/>
      <w:szCs w:val="20"/>
    </w:rPr>
  </w:style>
  <w:style w:type="character" w:customStyle="1" w:styleId="CommentTextChar">
    <w:name w:val="Comment Text Char"/>
    <w:basedOn w:val="DefaultParagraphFont"/>
    <w:link w:val="CommentText"/>
    <w:uiPriority w:val="99"/>
    <w:semiHidden/>
    <w:rsid w:val="00A45DFC"/>
    <w:rPr>
      <w:sz w:val="20"/>
      <w:szCs w:val="20"/>
    </w:rPr>
  </w:style>
  <w:style w:type="paragraph" w:styleId="CommentSubject">
    <w:name w:val="annotation subject"/>
    <w:basedOn w:val="CommentText"/>
    <w:next w:val="CommentText"/>
    <w:link w:val="CommentSubjectChar"/>
    <w:uiPriority w:val="99"/>
    <w:semiHidden/>
    <w:unhideWhenUsed/>
    <w:rsid w:val="00A45DFC"/>
    <w:rPr>
      <w:b/>
      <w:bCs/>
    </w:rPr>
  </w:style>
  <w:style w:type="character" w:customStyle="1" w:styleId="CommentSubjectChar">
    <w:name w:val="Comment Subject Char"/>
    <w:basedOn w:val="CommentTextChar"/>
    <w:link w:val="CommentSubject"/>
    <w:uiPriority w:val="99"/>
    <w:semiHidden/>
    <w:rsid w:val="00A45DFC"/>
    <w:rPr>
      <w:b/>
      <w:bCs/>
      <w:sz w:val="20"/>
      <w:szCs w:val="20"/>
    </w:rPr>
  </w:style>
  <w:style w:type="character" w:styleId="Strong">
    <w:name w:val="Strong"/>
    <w:basedOn w:val="DefaultParagraphFont"/>
    <w:uiPriority w:val="22"/>
    <w:qFormat/>
    <w:rsid w:val="00377A9D"/>
    <w:rPr>
      <w:b/>
      <w:bCs/>
    </w:rPr>
  </w:style>
  <w:style w:type="paragraph" w:styleId="BalloonText">
    <w:name w:val="Balloon Text"/>
    <w:basedOn w:val="Normal"/>
    <w:link w:val="BalloonTextChar"/>
    <w:uiPriority w:val="99"/>
    <w:semiHidden/>
    <w:unhideWhenUsed/>
    <w:rsid w:val="00E95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48"/>
    <w:rPr>
      <w:rFonts w:ascii="Segoe UI" w:hAnsi="Segoe UI" w:cs="Segoe UI"/>
      <w:sz w:val="18"/>
      <w:szCs w:val="18"/>
    </w:rPr>
  </w:style>
  <w:style w:type="paragraph" w:styleId="FootnoteText">
    <w:name w:val="footnote text"/>
    <w:basedOn w:val="Normal"/>
    <w:link w:val="FootnoteTextChar"/>
    <w:uiPriority w:val="99"/>
    <w:unhideWhenUsed/>
    <w:rsid w:val="00EE3FD2"/>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EE3FD2"/>
    <w:rPr>
      <w:sz w:val="20"/>
      <w:szCs w:val="20"/>
      <w:lang w:val="en-GB"/>
    </w:rPr>
  </w:style>
  <w:style w:type="character" w:styleId="FootnoteReference">
    <w:name w:val="footnote reference"/>
    <w:basedOn w:val="DefaultParagraphFont"/>
    <w:uiPriority w:val="99"/>
    <w:semiHidden/>
    <w:unhideWhenUsed/>
    <w:rsid w:val="00EE3FD2"/>
    <w:rPr>
      <w:vertAlign w:val="superscript"/>
    </w:rPr>
  </w:style>
  <w:style w:type="paragraph" w:styleId="Revision">
    <w:name w:val="Revision"/>
    <w:hidden/>
    <w:uiPriority w:val="99"/>
    <w:semiHidden/>
    <w:rsid w:val="007B6A3D"/>
    <w:pPr>
      <w:spacing w:after="0" w:line="240" w:lineRule="auto"/>
    </w:pPr>
  </w:style>
  <w:style w:type="paragraph" w:styleId="Header">
    <w:name w:val="header"/>
    <w:basedOn w:val="Normal"/>
    <w:link w:val="HeaderChar"/>
    <w:uiPriority w:val="99"/>
    <w:unhideWhenUsed/>
    <w:rsid w:val="00F8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B6"/>
  </w:style>
  <w:style w:type="paragraph" w:styleId="Footer">
    <w:name w:val="footer"/>
    <w:basedOn w:val="Normal"/>
    <w:link w:val="FooterChar"/>
    <w:uiPriority w:val="99"/>
    <w:unhideWhenUsed/>
    <w:rsid w:val="00F8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3284">
      <w:bodyDiv w:val="1"/>
      <w:marLeft w:val="0"/>
      <w:marRight w:val="0"/>
      <w:marTop w:val="0"/>
      <w:marBottom w:val="0"/>
      <w:divBdr>
        <w:top w:val="none" w:sz="0" w:space="0" w:color="auto"/>
        <w:left w:val="none" w:sz="0" w:space="0" w:color="auto"/>
        <w:bottom w:val="none" w:sz="0" w:space="0" w:color="auto"/>
        <w:right w:val="none" w:sz="0" w:space="0" w:color="auto"/>
      </w:divBdr>
    </w:div>
    <w:div w:id="894509754">
      <w:bodyDiv w:val="1"/>
      <w:marLeft w:val="0"/>
      <w:marRight w:val="0"/>
      <w:marTop w:val="0"/>
      <w:marBottom w:val="0"/>
      <w:divBdr>
        <w:top w:val="none" w:sz="0" w:space="0" w:color="auto"/>
        <w:left w:val="none" w:sz="0" w:space="0" w:color="auto"/>
        <w:bottom w:val="none" w:sz="0" w:space="0" w:color="auto"/>
        <w:right w:val="none" w:sz="0" w:space="0" w:color="auto"/>
      </w:divBdr>
    </w:div>
    <w:div w:id="1552885721">
      <w:bodyDiv w:val="1"/>
      <w:marLeft w:val="0"/>
      <w:marRight w:val="0"/>
      <w:marTop w:val="0"/>
      <w:marBottom w:val="0"/>
      <w:divBdr>
        <w:top w:val="none" w:sz="0" w:space="0" w:color="auto"/>
        <w:left w:val="none" w:sz="0" w:space="0" w:color="auto"/>
        <w:bottom w:val="none" w:sz="0" w:space="0" w:color="auto"/>
        <w:right w:val="none" w:sz="0" w:space="0" w:color="auto"/>
      </w:divBdr>
    </w:div>
    <w:div w:id="16993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pnetwork.org/themes/social-protection-and-humanitarian-cash-assist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3" ma:contentTypeDescription="Create a new document." ma:contentTypeScope="" ma:versionID="e0da5a1ea490eddc4d4f1263734ab446">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bf2458f2d3d5455a19ef71598425a7e7"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28A09-7494-4000-A74D-ECCE3C16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7680-4809-604C-BEE7-329D054291F3}">
  <ds:schemaRefs>
    <ds:schemaRef ds:uri="http://schemas.openxmlformats.org/officeDocument/2006/bibliography"/>
  </ds:schemaRefs>
</ds:datastoreItem>
</file>

<file path=customXml/itemProps3.xml><?xml version="1.0" encoding="utf-8"?>
<ds:datastoreItem xmlns:ds="http://schemas.openxmlformats.org/officeDocument/2006/customXml" ds:itemID="{EC6A66AE-BD46-486D-A468-E19A2DEFF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DC8CBA-7B78-4674-A70C-C9BAD91B6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Lippi</dc:creator>
  <cp:keywords/>
  <dc:description/>
  <cp:lastModifiedBy>Antony Gray</cp:lastModifiedBy>
  <cp:revision>11</cp:revision>
  <dcterms:created xsi:type="dcterms:W3CDTF">2021-09-28T11:48:00Z</dcterms:created>
  <dcterms:modified xsi:type="dcterms:W3CDTF">2021-09-30T11:20:00Z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