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AD3" w:rsidRPr="00FA4155" w:rsidRDefault="005E5AD3" w:rsidP="008D3F10">
      <w:pPr>
        <w:spacing w:after="0"/>
        <w:jc w:val="both"/>
      </w:pPr>
      <w:bookmarkStart w:id="0" w:name="_GoBack"/>
      <w:bookmarkEnd w:id="0"/>
    </w:p>
    <w:p w:rsidR="008D3F10" w:rsidRPr="00355EC1" w:rsidRDefault="008D3F10" w:rsidP="008D3F10">
      <w:pPr>
        <w:spacing w:after="0"/>
        <w:jc w:val="center"/>
        <w:rPr>
          <w:rFonts w:ascii="Verdana" w:hAnsi="Verdana"/>
          <w:b/>
          <w:sz w:val="32"/>
          <w:szCs w:val="32"/>
        </w:rPr>
      </w:pPr>
      <w:r w:rsidRPr="00355EC1">
        <w:rPr>
          <w:rFonts w:ascii="Verdana" w:hAnsi="Verdana"/>
          <w:b/>
          <w:sz w:val="32"/>
          <w:szCs w:val="32"/>
        </w:rPr>
        <w:t>ACTION PLAN:</w:t>
      </w:r>
    </w:p>
    <w:p w:rsidR="00336FDC" w:rsidRPr="00355EC1" w:rsidRDefault="00355EC1" w:rsidP="008D3F10">
      <w:pPr>
        <w:spacing w:after="0"/>
        <w:jc w:val="center"/>
        <w:rPr>
          <w:b/>
          <w:sz w:val="32"/>
          <w:szCs w:val="32"/>
        </w:rPr>
      </w:pPr>
      <w:r>
        <w:rPr>
          <w:b/>
          <w:sz w:val="32"/>
          <w:szCs w:val="32"/>
        </w:rPr>
        <w:t>Initiating Linkages between</w:t>
      </w:r>
      <w:r w:rsidR="00336FDC" w:rsidRPr="00355EC1">
        <w:rPr>
          <w:b/>
          <w:sz w:val="32"/>
          <w:szCs w:val="32"/>
        </w:rPr>
        <w:t xml:space="preserve"> Humanitarian Multi</w:t>
      </w:r>
      <w:r w:rsidR="008D3F10" w:rsidRPr="00355EC1">
        <w:rPr>
          <w:b/>
          <w:sz w:val="32"/>
          <w:szCs w:val="32"/>
        </w:rPr>
        <w:t>-P</w:t>
      </w:r>
      <w:r w:rsidR="00336FDC" w:rsidRPr="00355EC1">
        <w:rPr>
          <w:b/>
          <w:sz w:val="32"/>
          <w:szCs w:val="32"/>
        </w:rPr>
        <w:t xml:space="preserve">urpose Cash Assistance </w:t>
      </w:r>
      <w:r w:rsidR="008D3F10" w:rsidRPr="00355EC1">
        <w:rPr>
          <w:b/>
          <w:sz w:val="32"/>
          <w:szCs w:val="32"/>
        </w:rPr>
        <w:t xml:space="preserve">(MPCA) </w:t>
      </w:r>
      <w:r>
        <w:rPr>
          <w:b/>
          <w:sz w:val="32"/>
          <w:szCs w:val="32"/>
        </w:rPr>
        <w:t>and</w:t>
      </w:r>
      <w:r w:rsidR="00336FDC" w:rsidRPr="00355EC1">
        <w:rPr>
          <w:b/>
          <w:sz w:val="32"/>
          <w:szCs w:val="32"/>
        </w:rPr>
        <w:t xml:space="preserve"> </w:t>
      </w:r>
    </w:p>
    <w:p w:rsidR="00336FDC" w:rsidRPr="00355EC1" w:rsidRDefault="00336FDC" w:rsidP="008D3F10">
      <w:pPr>
        <w:spacing w:after="0"/>
        <w:jc w:val="center"/>
        <w:rPr>
          <w:b/>
          <w:sz w:val="32"/>
          <w:szCs w:val="32"/>
        </w:rPr>
      </w:pPr>
      <w:r w:rsidRPr="00355EC1">
        <w:rPr>
          <w:b/>
          <w:sz w:val="32"/>
          <w:szCs w:val="32"/>
        </w:rPr>
        <w:t xml:space="preserve">MoLSA’s Social </w:t>
      </w:r>
      <w:r w:rsidR="008D3F10" w:rsidRPr="00355EC1">
        <w:rPr>
          <w:b/>
          <w:sz w:val="32"/>
          <w:szCs w:val="32"/>
        </w:rPr>
        <w:t>Protection Network (SPN)</w:t>
      </w:r>
      <w:r w:rsidRPr="00355EC1">
        <w:rPr>
          <w:b/>
          <w:sz w:val="32"/>
          <w:szCs w:val="32"/>
        </w:rPr>
        <w:t xml:space="preserve"> in Iraq</w:t>
      </w:r>
    </w:p>
    <w:p w:rsidR="008D3F10" w:rsidRDefault="008D3F10" w:rsidP="00D019BE">
      <w:pPr>
        <w:jc w:val="both"/>
        <w:rPr>
          <w:lang w:val="en-US"/>
        </w:rPr>
      </w:pPr>
    </w:p>
    <w:p w:rsidR="008D3F10" w:rsidRDefault="008D3F10" w:rsidP="00D019BE">
      <w:pPr>
        <w:jc w:val="both"/>
        <w:rPr>
          <w:lang w:val="en-US"/>
        </w:rPr>
      </w:pPr>
      <w:r>
        <w:rPr>
          <w:lang w:val="en-US"/>
        </w:rPr>
        <w:t>On 17-18 April 2018, a</w:t>
      </w:r>
      <w:r w:rsidR="00336FDC" w:rsidRPr="00D019BE">
        <w:rPr>
          <w:lang w:val="en-US"/>
        </w:rPr>
        <w:t xml:space="preserve"> two day workshop </w:t>
      </w:r>
      <w:r>
        <w:rPr>
          <w:lang w:val="en-US"/>
        </w:rPr>
        <w:t xml:space="preserve">was held in Baghdad </w:t>
      </w:r>
      <w:r w:rsidR="00336FDC" w:rsidRPr="00D019BE">
        <w:rPr>
          <w:lang w:val="en-US"/>
        </w:rPr>
        <w:t xml:space="preserve">aimed at </w:t>
      </w:r>
      <w:r w:rsidR="006438D6" w:rsidRPr="00D019BE">
        <w:rPr>
          <w:lang w:val="en-US"/>
        </w:rPr>
        <w:t>strengthening</w:t>
      </w:r>
      <w:r w:rsidR="00336FDC" w:rsidRPr="00D019BE">
        <w:rPr>
          <w:lang w:val="en-US"/>
        </w:rPr>
        <w:t xml:space="preserve"> linkages between </w:t>
      </w:r>
      <w:r w:rsidR="00895940">
        <w:rPr>
          <w:lang w:val="en-US"/>
        </w:rPr>
        <w:t>Cash Working Group</w:t>
      </w:r>
      <w:r>
        <w:rPr>
          <w:lang w:val="en-US"/>
        </w:rPr>
        <w:t xml:space="preserve"> (CWG) </w:t>
      </w:r>
      <w:r w:rsidR="00336FDC" w:rsidRPr="00D019BE">
        <w:rPr>
          <w:lang w:val="en-US"/>
        </w:rPr>
        <w:t xml:space="preserve">humanitarian </w:t>
      </w:r>
      <w:r>
        <w:rPr>
          <w:lang w:val="en-US"/>
        </w:rPr>
        <w:t xml:space="preserve">multi-purpose </w:t>
      </w:r>
      <w:r w:rsidR="00336FDC" w:rsidRPr="00D019BE">
        <w:rPr>
          <w:lang w:val="en-US"/>
        </w:rPr>
        <w:t>cash assistance</w:t>
      </w:r>
      <w:r>
        <w:rPr>
          <w:lang w:val="en-US"/>
        </w:rPr>
        <w:t xml:space="preserve"> (MPCA)</w:t>
      </w:r>
      <w:r w:rsidR="00336FDC" w:rsidRPr="00D019BE">
        <w:rPr>
          <w:lang w:val="en-US"/>
        </w:rPr>
        <w:t xml:space="preserve"> and the Government of Iraq’s Minis</w:t>
      </w:r>
      <w:r w:rsidR="00E34C25">
        <w:rPr>
          <w:lang w:val="en-US"/>
        </w:rPr>
        <w:t xml:space="preserve">try of Labor and Social Affairs </w:t>
      </w:r>
      <w:r w:rsidR="00336FDC" w:rsidRPr="00D019BE">
        <w:rPr>
          <w:lang w:val="en-US"/>
        </w:rPr>
        <w:t>(</w:t>
      </w:r>
      <w:proofErr w:type="spellStart"/>
      <w:r w:rsidR="00336FDC" w:rsidRPr="00D019BE">
        <w:rPr>
          <w:lang w:val="en-US"/>
        </w:rPr>
        <w:t>MoLSA</w:t>
      </w:r>
      <w:proofErr w:type="spellEnd"/>
      <w:r w:rsidR="00336FDC" w:rsidRPr="00D019BE">
        <w:rPr>
          <w:lang w:val="en-US"/>
        </w:rPr>
        <w:t xml:space="preserve">) Social </w:t>
      </w:r>
      <w:r>
        <w:rPr>
          <w:lang w:val="en-US"/>
        </w:rPr>
        <w:t>Protection Network (SPN)</w:t>
      </w:r>
      <w:r w:rsidR="00336FDC" w:rsidRPr="00D019BE">
        <w:rPr>
          <w:lang w:val="en-US"/>
        </w:rPr>
        <w:t xml:space="preserve">. The event </w:t>
      </w:r>
      <w:r>
        <w:rPr>
          <w:lang w:val="en-US"/>
        </w:rPr>
        <w:t xml:space="preserve">occurred under the auspices of </w:t>
      </w:r>
      <w:r w:rsidR="00355EC1">
        <w:rPr>
          <w:lang w:val="en-US"/>
        </w:rPr>
        <w:t>His Excellency Mohammed al-</w:t>
      </w:r>
      <w:proofErr w:type="spellStart"/>
      <w:r w:rsidR="00355EC1">
        <w:rPr>
          <w:lang w:val="en-US"/>
        </w:rPr>
        <w:t>Sudani</w:t>
      </w:r>
      <w:proofErr w:type="spellEnd"/>
      <w:r w:rsidR="00355EC1">
        <w:rPr>
          <w:lang w:val="en-US"/>
        </w:rPr>
        <w:t xml:space="preserve">, </w:t>
      </w:r>
      <w:r w:rsidR="00355EC1" w:rsidRPr="00D019BE">
        <w:rPr>
          <w:lang w:val="en-US"/>
        </w:rPr>
        <w:t>Minister of the Ministry of Labor and Social Affairs</w:t>
      </w:r>
      <w:r w:rsidR="00355EC1">
        <w:rPr>
          <w:lang w:val="en-US"/>
        </w:rPr>
        <w:t>, was funded by DFID, and co-facilitated by UNHCR and the World Bank.</w:t>
      </w:r>
      <w:r w:rsidR="00355EC1" w:rsidRPr="00D019BE">
        <w:rPr>
          <w:lang w:val="en-US"/>
        </w:rPr>
        <w:t xml:space="preserve"> </w:t>
      </w:r>
      <w:r w:rsidR="00355EC1">
        <w:rPr>
          <w:lang w:val="en-US"/>
        </w:rPr>
        <w:t>P</w:t>
      </w:r>
      <w:r w:rsidR="00336FDC" w:rsidRPr="00D019BE">
        <w:rPr>
          <w:lang w:val="en-US"/>
        </w:rPr>
        <w:t xml:space="preserve">articipants included </w:t>
      </w:r>
      <w:r w:rsidR="00355EC1">
        <w:rPr>
          <w:lang w:val="en-US"/>
        </w:rPr>
        <w:t xml:space="preserve">members of the CWG, including UNICEF, WFP, UNHCR, the Cash Consortium for Iraq (CCI), and REACH, along with donors (DFID, ECHO, OFDA/FFP), OCHA, and staff from relevant </w:t>
      </w:r>
      <w:proofErr w:type="spellStart"/>
      <w:r w:rsidR="00355EC1">
        <w:rPr>
          <w:lang w:val="en-US"/>
        </w:rPr>
        <w:t>MoLSA</w:t>
      </w:r>
      <w:proofErr w:type="spellEnd"/>
      <w:r w:rsidR="00355EC1">
        <w:rPr>
          <w:lang w:val="en-US"/>
        </w:rPr>
        <w:t xml:space="preserve"> directorates and governorate directorates (</w:t>
      </w:r>
      <w:proofErr w:type="spellStart"/>
      <w:r w:rsidR="00355EC1">
        <w:rPr>
          <w:lang w:val="en-US"/>
        </w:rPr>
        <w:t>Ninewa</w:t>
      </w:r>
      <w:proofErr w:type="spellEnd"/>
      <w:r w:rsidR="00355EC1">
        <w:rPr>
          <w:lang w:val="en-US"/>
        </w:rPr>
        <w:t xml:space="preserve">, Anbar, and Salah Al Din).  </w:t>
      </w:r>
      <w:r w:rsidR="00336FDC" w:rsidRPr="00D019BE">
        <w:rPr>
          <w:lang w:val="en-US"/>
        </w:rPr>
        <w:t> </w:t>
      </w:r>
    </w:p>
    <w:p w:rsidR="004F1454" w:rsidRPr="00D019BE" w:rsidRDefault="00336FDC" w:rsidP="00D019BE">
      <w:pPr>
        <w:jc w:val="both"/>
      </w:pPr>
      <w:r w:rsidRPr="00D019BE">
        <w:rPr>
          <w:lang w:val="en-US"/>
        </w:rPr>
        <w:t xml:space="preserve">The workshop served as an opportunity for </w:t>
      </w:r>
      <w:proofErr w:type="spellStart"/>
      <w:r w:rsidR="00355EC1">
        <w:rPr>
          <w:lang w:val="en-US"/>
        </w:rPr>
        <w:t>MoLSA</w:t>
      </w:r>
      <w:proofErr w:type="spellEnd"/>
      <w:r w:rsidRPr="00D019BE">
        <w:rPr>
          <w:lang w:val="en-US"/>
        </w:rPr>
        <w:t xml:space="preserve"> and humanitarian partners to present their </w:t>
      </w:r>
      <w:r w:rsidR="000B1BB1" w:rsidRPr="00D019BE">
        <w:rPr>
          <w:lang w:val="en-US"/>
        </w:rPr>
        <w:t>program</w:t>
      </w:r>
      <w:r w:rsidR="000B1BB1">
        <w:rPr>
          <w:lang w:val="en-US"/>
        </w:rPr>
        <w:t>s</w:t>
      </w:r>
      <w:r w:rsidRPr="00D019BE">
        <w:rPr>
          <w:lang w:val="en-US"/>
        </w:rPr>
        <w:t xml:space="preserve"> and build a common understand of the tools, platforms and processes they use. </w:t>
      </w:r>
      <w:r w:rsidR="00D019BE" w:rsidRPr="00D019BE">
        <w:rPr>
          <w:lang w:val="en-US"/>
        </w:rPr>
        <w:t>The final session of the event provided a</w:t>
      </w:r>
      <w:r w:rsidR="00355EC1">
        <w:rPr>
          <w:lang w:val="en-US"/>
        </w:rPr>
        <w:t>n</w:t>
      </w:r>
      <w:r w:rsidR="00D019BE" w:rsidRPr="00D019BE">
        <w:rPr>
          <w:lang w:val="en-US"/>
        </w:rPr>
        <w:t xml:space="preserve"> </w:t>
      </w:r>
      <w:r w:rsidR="00355EC1">
        <w:rPr>
          <w:lang w:val="en-US"/>
        </w:rPr>
        <w:t xml:space="preserve">opportunity </w:t>
      </w:r>
      <w:r w:rsidR="00D019BE" w:rsidRPr="00D019BE">
        <w:rPr>
          <w:lang w:val="en-US"/>
        </w:rPr>
        <w:t xml:space="preserve">for in-depth </w:t>
      </w:r>
      <w:r w:rsidR="00355EC1">
        <w:rPr>
          <w:lang w:val="en-US"/>
        </w:rPr>
        <w:t xml:space="preserve">group </w:t>
      </w:r>
      <w:r w:rsidR="00D019BE" w:rsidRPr="00D019BE">
        <w:rPr>
          <w:lang w:val="en-US"/>
        </w:rPr>
        <w:t>discussion</w:t>
      </w:r>
      <w:r w:rsidR="00355EC1">
        <w:rPr>
          <w:lang w:val="en-US"/>
        </w:rPr>
        <w:t>s on the key topics of:</w:t>
      </w:r>
      <w:r w:rsidR="00D019BE" w:rsidRPr="00D019BE">
        <w:rPr>
          <w:lang w:val="en-US"/>
        </w:rPr>
        <w:t xml:space="preserve"> </w:t>
      </w:r>
      <w:r w:rsidR="00355EC1" w:rsidRPr="00D019BE">
        <w:t>eligibility</w:t>
      </w:r>
      <w:r w:rsidR="00D019BE" w:rsidRPr="00D019BE">
        <w:t xml:space="preserve"> criteria, information management</w:t>
      </w:r>
      <w:r w:rsidR="00355EC1">
        <w:t>,</w:t>
      </w:r>
      <w:r w:rsidR="00D019BE" w:rsidRPr="00D019BE">
        <w:t xml:space="preserve"> and referrals</w:t>
      </w:r>
      <w:r w:rsidR="00A97E49">
        <w:t>.</w:t>
      </w:r>
      <w:r w:rsidR="00D019BE" w:rsidRPr="00D019BE">
        <w:t xml:space="preserve"> </w:t>
      </w:r>
      <w:r w:rsidR="00355EC1">
        <w:t>Possible ways to s</w:t>
      </w:r>
      <w:r w:rsidR="00895940">
        <w:t xml:space="preserve">trengthen collaboration </w:t>
      </w:r>
      <w:r w:rsidR="00355EC1">
        <w:t xml:space="preserve">were identified, with a focus </w:t>
      </w:r>
      <w:r w:rsidR="00895940">
        <w:t xml:space="preserve">on short to medium term actions. </w:t>
      </w:r>
      <w:r w:rsidR="00355EC1">
        <w:t>The m</w:t>
      </w:r>
      <w:r w:rsidR="00A97E49">
        <w:t>ain</w:t>
      </w:r>
      <w:r w:rsidR="00D019BE" w:rsidRPr="00D019BE">
        <w:t xml:space="preserve"> discussion and action point</w:t>
      </w:r>
      <w:r w:rsidR="00A97E49">
        <w:t>s</w:t>
      </w:r>
      <w:r w:rsidR="00D019BE" w:rsidRPr="00D019BE">
        <w:t xml:space="preserve"> presented by each group </w:t>
      </w:r>
      <w:r w:rsidR="00355EC1">
        <w:t xml:space="preserve">and agreed by participants are presented below, along with the highlighted need for enhanced coordination mechanisms to take actions forward in the future. </w:t>
      </w:r>
      <w:r w:rsidR="00895940">
        <w:t xml:space="preserve">Some recommended actions go beyond the mandates of the CWG/SPN participants but are included for broader engagement of other stakeholders. A longer-term Road Map or shared vision of direction and transition would be needed once progress is made on the below initial actions.   </w:t>
      </w:r>
    </w:p>
    <w:tbl>
      <w:tblPr>
        <w:tblStyle w:val="TableGrid"/>
        <w:tblW w:w="0" w:type="auto"/>
        <w:tblLook w:val="04A0" w:firstRow="1" w:lastRow="0" w:firstColumn="1" w:lastColumn="0" w:noHBand="0" w:noVBand="1"/>
      </w:tblPr>
      <w:tblGrid>
        <w:gridCol w:w="6912"/>
        <w:gridCol w:w="4820"/>
        <w:gridCol w:w="2410"/>
      </w:tblGrid>
      <w:tr w:rsidR="00974FCC" w:rsidTr="00463B56">
        <w:tc>
          <w:tcPr>
            <w:tcW w:w="6912" w:type="dxa"/>
          </w:tcPr>
          <w:p w:rsidR="00974FCC" w:rsidRPr="007609D4" w:rsidRDefault="00974FCC" w:rsidP="007609D4">
            <w:r>
              <w:rPr>
                <w:b/>
              </w:rPr>
              <w:t>Current situation, d</w:t>
            </w:r>
            <w:r w:rsidRPr="00A97E49">
              <w:rPr>
                <w:b/>
              </w:rPr>
              <w:t>iscussion</w:t>
            </w:r>
            <w:r>
              <w:rPr>
                <w:b/>
              </w:rPr>
              <w:t xml:space="preserve"> points, and/or desired objective(s). </w:t>
            </w:r>
          </w:p>
          <w:p w:rsidR="00974FCC" w:rsidRPr="00895940" w:rsidRDefault="00974FCC" w:rsidP="007609D4">
            <w:pPr>
              <w:rPr>
                <w:i/>
              </w:rPr>
            </w:pPr>
            <w:r w:rsidRPr="00895940">
              <w:rPr>
                <w:i/>
              </w:rPr>
              <w:t xml:space="preserve">Key summary </w:t>
            </w:r>
            <w:r w:rsidR="00895940" w:rsidRPr="00895940">
              <w:rPr>
                <w:i/>
              </w:rPr>
              <w:t xml:space="preserve">of group </w:t>
            </w:r>
            <w:r w:rsidR="00612440" w:rsidRPr="00895940">
              <w:rPr>
                <w:i/>
                <w:u w:val="single"/>
              </w:rPr>
              <w:t xml:space="preserve">discussion </w:t>
            </w:r>
            <w:r w:rsidRPr="00895940">
              <w:rPr>
                <w:i/>
                <w:u w:val="single"/>
              </w:rPr>
              <w:t>points</w:t>
            </w:r>
            <w:r w:rsidRPr="00895940">
              <w:rPr>
                <w:i/>
              </w:rPr>
              <w:t xml:space="preserve"> </w:t>
            </w:r>
            <w:r w:rsidR="00612440" w:rsidRPr="00895940">
              <w:rPr>
                <w:i/>
              </w:rPr>
              <w:t xml:space="preserve">which </w:t>
            </w:r>
            <w:r w:rsidR="00895940" w:rsidRPr="00895940">
              <w:rPr>
                <w:i/>
              </w:rPr>
              <w:t>are</w:t>
            </w:r>
            <w:r w:rsidRPr="00895940">
              <w:rPr>
                <w:i/>
              </w:rPr>
              <w:t xml:space="preserve"> related </w:t>
            </w:r>
            <w:r w:rsidR="00895940" w:rsidRPr="00895940">
              <w:rPr>
                <w:i/>
              </w:rPr>
              <w:t>to a</w:t>
            </w:r>
            <w:r w:rsidRPr="00895940">
              <w:rPr>
                <w:i/>
              </w:rPr>
              <w:t>ctions.</w:t>
            </w:r>
          </w:p>
          <w:p w:rsidR="00612440" w:rsidRPr="007609D4" w:rsidRDefault="00612440" w:rsidP="007609D4">
            <w:pPr>
              <w:rPr>
                <w:b/>
                <w:i/>
                <w:color w:val="FF0000"/>
              </w:rPr>
            </w:pPr>
            <w:r>
              <w:rPr>
                <w:i/>
                <w:color w:val="FF0000"/>
              </w:rPr>
              <w:t xml:space="preserve"> </w:t>
            </w:r>
          </w:p>
        </w:tc>
        <w:tc>
          <w:tcPr>
            <w:tcW w:w="4820" w:type="dxa"/>
          </w:tcPr>
          <w:p w:rsidR="00974FCC" w:rsidRDefault="00974FCC" w:rsidP="007609D4">
            <w:pPr>
              <w:rPr>
                <w:b/>
              </w:rPr>
            </w:pPr>
            <w:r w:rsidRPr="00A97E49">
              <w:rPr>
                <w:b/>
              </w:rPr>
              <w:t xml:space="preserve">Action </w:t>
            </w:r>
            <w:r>
              <w:rPr>
                <w:b/>
              </w:rPr>
              <w:t>Items / Activities</w:t>
            </w:r>
          </w:p>
          <w:p w:rsidR="00974FCC" w:rsidRPr="00895940" w:rsidRDefault="00974FCC" w:rsidP="00895940">
            <w:pPr>
              <w:rPr>
                <w:i/>
                <w:color w:val="FF0000"/>
              </w:rPr>
            </w:pPr>
            <w:r w:rsidRPr="00895940">
              <w:rPr>
                <w:i/>
              </w:rPr>
              <w:t xml:space="preserve">Specific, short-medium term </w:t>
            </w:r>
            <w:r w:rsidR="00895940" w:rsidRPr="00895940">
              <w:rPr>
                <w:i/>
                <w:u w:val="single"/>
              </w:rPr>
              <w:t>action</w:t>
            </w:r>
            <w:r w:rsidR="00612440" w:rsidRPr="00895940">
              <w:rPr>
                <w:i/>
              </w:rPr>
              <w:t xml:space="preserve"> points</w:t>
            </w:r>
            <w:r w:rsidRPr="00895940">
              <w:rPr>
                <w:i/>
              </w:rPr>
              <w:t>.</w:t>
            </w:r>
          </w:p>
        </w:tc>
        <w:tc>
          <w:tcPr>
            <w:tcW w:w="2410" w:type="dxa"/>
          </w:tcPr>
          <w:p w:rsidR="00974FCC" w:rsidRDefault="00974FCC" w:rsidP="003E13DD">
            <w:pPr>
              <w:rPr>
                <w:i/>
              </w:rPr>
            </w:pPr>
            <w:r>
              <w:rPr>
                <w:b/>
              </w:rPr>
              <w:t>Timeline</w:t>
            </w:r>
            <w:r>
              <w:rPr>
                <w:b/>
              </w:rPr>
              <w:br/>
            </w:r>
            <w:r w:rsidR="00895940">
              <w:rPr>
                <w:i/>
              </w:rPr>
              <w:t xml:space="preserve">and responsible </w:t>
            </w:r>
            <w:r w:rsidRPr="00FF7827">
              <w:rPr>
                <w:i/>
              </w:rPr>
              <w:t>Focal Point</w:t>
            </w:r>
            <w:r>
              <w:rPr>
                <w:i/>
              </w:rPr>
              <w:t>s</w:t>
            </w:r>
            <w:r w:rsidRPr="00FF7827">
              <w:rPr>
                <w:i/>
              </w:rPr>
              <w:t xml:space="preserve"> </w:t>
            </w:r>
          </w:p>
          <w:p w:rsidR="004F2B10" w:rsidRPr="004F2B10" w:rsidRDefault="004F2B10" w:rsidP="003E13DD">
            <w:pPr>
              <w:rPr>
                <w:b/>
              </w:rPr>
            </w:pPr>
          </w:p>
        </w:tc>
      </w:tr>
      <w:tr w:rsidR="00974FCC" w:rsidTr="00463B56">
        <w:tc>
          <w:tcPr>
            <w:tcW w:w="14142" w:type="dxa"/>
            <w:gridSpan w:val="3"/>
            <w:shd w:val="clear" w:color="auto" w:fill="A6A6A6" w:themeFill="background1" w:themeFillShade="A6"/>
          </w:tcPr>
          <w:p w:rsidR="00974FCC" w:rsidRDefault="00974FCC" w:rsidP="00503667">
            <w:pPr>
              <w:jc w:val="both"/>
              <w:rPr>
                <w:b/>
              </w:rPr>
            </w:pPr>
            <w:r w:rsidRPr="00B04E6F">
              <w:rPr>
                <w:b/>
              </w:rPr>
              <w:t>COORDINATION</w:t>
            </w:r>
          </w:p>
          <w:p w:rsidR="004F1454" w:rsidRPr="005B58D2" w:rsidRDefault="004F1454" w:rsidP="00503667">
            <w:pPr>
              <w:jc w:val="both"/>
              <w:rPr>
                <w:b/>
              </w:rPr>
            </w:pPr>
          </w:p>
        </w:tc>
      </w:tr>
      <w:tr w:rsidR="00463B56" w:rsidTr="00463B56">
        <w:trPr>
          <w:trHeight w:val="1833"/>
        </w:trPr>
        <w:tc>
          <w:tcPr>
            <w:tcW w:w="6912" w:type="dxa"/>
            <w:vMerge w:val="restart"/>
            <w:shd w:val="clear" w:color="auto" w:fill="F2F2F2" w:themeFill="background1" w:themeFillShade="F2"/>
          </w:tcPr>
          <w:p w:rsidR="008D3F10" w:rsidRPr="00C324E5" w:rsidRDefault="00A03C74" w:rsidP="00463B56">
            <w:pPr>
              <w:numPr>
                <w:ilvl w:val="0"/>
                <w:numId w:val="7"/>
              </w:numPr>
              <w:pBdr>
                <w:top w:val="nil"/>
                <w:left w:val="nil"/>
                <w:bottom w:val="nil"/>
                <w:right w:val="nil"/>
                <w:between w:val="nil"/>
              </w:pBdr>
              <w:tabs>
                <w:tab w:val="left" w:pos="0"/>
              </w:tabs>
              <w:contextualSpacing/>
              <w:jc w:val="both"/>
            </w:pPr>
            <w:r w:rsidRPr="00463B56">
              <w:rPr>
                <w:rFonts w:ascii="Calibri" w:hAnsi="Calibri"/>
                <w:color w:val="000000"/>
              </w:rPr>
              <w:lastRenderedPageBreak/>
              <w:t xml:space="preserve">Participants, including a number of representatives of the CWG, recognised the added value of </w:t>
            </w:r>
            <w:r>
              <w:rPr>
                <w:rFonts w:ascii="Calibri" w:eastAsia="Calibri" w:hAnsi="Calibri" w:cs="Calibri"/>
                <w:color w:val="000000"/>
              </w:rPr>
              <w:t xml:space="preserve">efforts to enhance mutual understanding and </w:t>
            </w:r>
            <w:r w:rsidRPr="00463B56">
              <w:rPr>
                <w:rFonts w:ascii="Calibri" w:hAnsi="Calibri"/>
                <w:color w:val="000000"/>
              </w:rPr>
              <w:t xml:space="preserve">collaboration </w:t>
            </w:r>
            <w:r w:rsidRPr="0073681F">
              <w:t>between</w:t>
            </w:r>
            <w:r w:rsidRPr="00463B56">
              <w:rPr>
                <w:rFonts w:ascii="Calibri" w:hAnsi="Calibri"/>
                <w:color w:val="000000"/>
              </w:rPr>
              <w:t xml:space="preserve"> humanitarian actors providing cash assistance </w:t>
            </w:r>
            <w:r w:rsidRPr="0073681F">
              <w:t>and</w:t>
            </w:r>
            <w:r w:rsidRPr="00463B56">
              <w:rPr>
                <w:rFonts w:ascii="Calibri" w:hAnsi="Calibri"/>
                <w:color w:val="000000"/>
              </w:rPr>
              <w:t xml:space="preserve"> MoLSA, however, also felt further consultation with all members of the CWG and key donors is needed before being able to make a final decision on the proposed way forward. </w:t>
            </w:r>
            <w:r>
              <w:rPr>
                <w:rFonts w:ascii="Calibri" w:eastAsia="Calibri" w:hAnsi="Calibri" w:cs="Calibri"/>
                <w:color w:val="000000"/>
              </w:rPr>
              <w:t>More time</w:t>
            </w:r>
            <w:r w:rsidRPr="0073681F">
              <w:t xml:space="preserve">, and meeting opportunities, are also required to keep building mutual understanding and awareness of the approaches/reach/goals of both MoLSA and Humanitarian cash actors. </w:t>
            </w:r>
            <w:r>
              <w:rPr>
                <w:rFonts w:ascii="Calibri" w:eastAsia="Calibri" w:hAnsi="Calibri" w:cs="Calibri"/>
                <w:color w:val="000000"/>
              </w:rPr>
              <w:t xml:space="preserve">This consultation will </w:t>
            </w:r>
            <w:r w:rsidRPr="0073681F">
              <w:t>launch</w:t>
            </w:r>
            <w:r>
              <w:rPr>
                <w:rFonts w:ascii="Calibri" w:eastAsia="Calibri" w:hAnsi="Calibri" w:cs="Calibri"/>
                <w:color w:val="000000"/>
              </w:rPr>
              <w:t xml:space="preserve"> prior to the deadline of the first action point.</w:t>
            </w:r>
            <w:r w:rsidR="00285885">
              <w:t xml:space="preserve"> </w:t>
            </w:r>
          </w:p>
          <w:p w:rsidR="008D3F10" w:rsidRDefault="008D3F10" w:rsidP="007609D4">
            <w:pPr>
              <w:pStyle w:val="ListParagraph"/>
              <w:ind w:left="400"/>
              <w:jc w:val="both"/>
            </w:pPr>
          </w:p>
          <w:p w:rsidR="008D3F10" w:rsidRDefault="008D3F10" w:rsidP="002E7732">
            <w:pPr>
              <w:pStyle w:val="ListParagraph"/>
              <w:numPr>
                <w:ilvl w:val="0"/>
                <w:numId w:val="7"/>
              </w:numPr>
              <w:jc w:val="both"/>
            </w:pPr>
            <w:r>
              <w:t xml:space="preserve">Following up on </w:t>
            </w:r>
            <w:r w:rsidR="004359AA">
              <w:t>Action Plan</w:t>
            </w:r>
            <w:r>
              <w:t xml:space="preserve"> </w:t>
            </w:r>
            <w:r w:rsidR="004359AA">
              <w:t>items</w:t>
            </w:r>
            <w:r>
              <w:t xml:space="preserve"> and continued coordination between humanitarian actors and MoLSA is critical to achieve results. Focal point(s) are needed for coordination, with MoLSA playing a leadership role (Chair/Co-Chair).  </w:t>
            </w:r>
            <w:r w:rsidR="003F5E43">
              <w:t xml:space="preserve">Governorate level coordination between MoLSA and CWG members will also be key to facilitate progress. </w:t>
            </w:r>
          </w:p>
          <w:p w:rsidR="008D3F10" w:rsidRDefault="008D3F10" w:rsidP="00C324E5">
            <w:pPr>
              <w:pStyle w:val="ListParagraph"/>
              <w:ind w:left="0" w:firstLine="400"/>
              <w:jc w:val="both"/>
            </w:pPr>
          </w:p>
          <w:p w:rsidR="008D3F10" w:rsidRDefault="00103CBC" w:rsidP="002E7732">
            <w:pPr>
              <w:pStyle w:val="ListParagraph"/>
              <w:numPr>
                <w:ilvl w:val="0"/>
                <w:numId w:val="7"/>
              </w:numPr>
              <w:jc w:val="both"/>
            </w:pPr>
            <w:r>
              <w:t xml:space="preserve">In Iraq, GoI internally coordinates social protection efforts through the Social Protection Commission. However, engagement and coordination with external international community stakeholders (UN, NGOs, </w:t>
            </w:r>
            <w:r w:rsidR="004359AA">
              <w:t xml:space="preserve">various Clusters, </w:t>
            </w:r>
            <w:r>
              <w:t xml:space="preserve">development partners, donors, etc.) is limited. The establishment of </w:t>
            </w:r>
            <w:proofErr w:type="gramStart"/>
            <w:r>
              <w:t xml:space="preserve">a </w:t>
            </w:r>
            <w:r w:rsidR="008D3F10">
              <w:t xml:space="preserve"> Social</w:t>
            </w:r>
            <w:proofErr w:type="gramEnd"/>
            <w:r w:rsidR="008D3F10">
              <w:t xml:space="preserve"> Protection </w:t>
            </w:r>
            <w:r>
              <w:t xml:space="preserve">Forum </w:t>
            </w:r>
            <w:r w:rsidR="008D3F10">
              <w:t>structure</w:t>
            </w:r>
            <w:r w:rsidR="004359AA">
              <w:t>,</w:t>
            </w:r>
            <w:r w:rsidR="008D3F10">
              <w:t xml:space="preserve"> </w:t>
            </w:r>
            <w:r>
              <w:t>using</w:t>
            </w:r>
            <w:r w:rsidR="008D3F10">
              <w:t xml:space="preserve"> best practices and experience in the MENA Region</w:t>
            </w:r>
            <w:r>
              <w:t xml:space="preserve">, would be useful to continue efforts towards a more comprehensive and coordinated </w:t>
            </w:r>
            <w:r w:rsidR="00895940">
              <w:t>system which also links into GOI’s Poverty Reduction Strategy’s planning processes</w:t>
            </w:r>
            <w:r w:rsidR="008D3F10">
              <w:t xml:space="preserve">. Multiple platforms may be needed (general, donor, etc.), as well as additional human resource capacity. It may be better to start imperfectly with all interested parties and adjust/prepare TORs as the forum progresses over time.  </w:t>
            </w:r>
          </w:p>
          <w:p w:rsidR="008D3F10" w:rsidRDefault="008D3F10" w:rsidP="00503667">
            <w:pPr>
              <w:pStyle w:val="ListParagraph"/>
            </w:pPr>
          </w:p>
          <w:p w:rsidR="008D3F10" w:rsidRDefault="008D3F10" w:rsidP="002E7732">
            <w:pPr>
              <w:pStyle w:val="ListParagraph"/>
              <w:numPr>
                <w:ilvl w:val="0"/>
                <w:numId w:val="7"/>
              </w:numPr>
              <w:jc w:val="both"/>
            </w:pPr>
            <w:r>
              <w:lastRenderedPageBreak/>
              <w:t xml:space="preserve">Broader humanitarian/MoLSA coordination has also been identified on other topics MoLSA is working on (women’s empowerment, livelihoods, citizen feedback, child protection, etc.). More information is needed on MoLSA’s programmes and Departmental structure to understand overlaps. </w:t>
            </w:r>
          </w:p>
          <w:p w:rsidR="008D3F10" w:rsidRPr="005D583E" w:rsidRDefault="008D3F10" w:rsidP="002353F2">
            <w:pPr>
              <w:tabs>
                <w:tab w:val="left" w:pos="0"/>
              </w:tabs>
              <w:jc w:val="both"/>
            </w:pPr>
          </w:p>
        </w:tc>
        <w:tc>
          <w:tcPr>
            <w:tcW w:w="4820" w:type="dxa"/>
            <w:tcBorders>
              <w:bottom w:val="single" w:sz="4" w:space="0" w:color="auto"/>
            </w:tcBorders>
          </w:tcPr>
          <w:p w:rsidR="008D3F10" w:rsidRDefault="00103CBC" w:rsidP="00103CBC">
            <w:pPr>
              <w:jc w:val="both"/>
            </w:pPr>
            <w:r>
              <w:rPr>
                <w:b/>
              </w:rPr>
              <w:lastRenderedPageBreak/>
              <w:t xml:space="preserve">1. </w:t>
            </w:r>
            <w:r w:rsidR="008D3F10" w:rsidRPr="00103CBC">
              <w:rPr>
                <w:b/>
              </w:rPr>
              <w:t>CWG Endorsement:</w:t>
            </w:r>
            <w:r w:rsidR="00EB2C73">
              <w:t xml:space="preserve"> CWG</w:t>
            </w:r>
            <w:r w:rsidR="008D3F10">
              <w:t xml:space="preserve"> members meet internally to</w:t>
            </w:r>
            <w:r>
              <w:t xml:space="preserve"> </w:t>
            </w:r>
            <w:r w:rsidR="000F716E">
              <w:t>review th</w:t>
            </w:r>
            <w:r>
              <w:t>is</w:t>
            </w:r>
            <w:r w:rsidR="000F716E">
              <w:t xml:space="preserve"> </w:t>
            </w:r>
            <w:r>
              <w:t>A</w:t>
            </w:r>
            <w:r w:rsidR="000F716E">
              <w:t xml:space="preserve">ction </w:t>
            </w:r>
            <w:r>
              <w:t>P</w:t>
            </w:r>
            <w:r w:rsidR="000F716E">
              <w:t>lan</w:t>
            </w:r>
            <w:r w:rsidR="008D3F10">
              <w:t xml:space="preserve">, and </w:t>
            </w:r>
            <w:r w:rsidR="008D3F10" w:rsidRPr="005B58D2">
              <w:t>consider the formation of Task Force</w:t>
            </w:r>
            <w:r>
              <w:t xml:space="preserve"> and/or Targeting and Vulnerability Task Force</w:t>
            </w:r>
            <w:r w:rsidR="008D3F10" w:rsidRPr="005B58D2">
              <w:t xml:space="preserve"> to guide th</w:t>
            </w:r>
            <w:r w:rsidR="008D3F10">
              <w:t xml:space="preserve">ese efforts.  </w:t>
            </w:r>
          </w:p>
          <w:p w:rsidR="008D3F10" w:rsidRPr="00C324E5" w:rsidRDefault="008D3F10" w:rsidP="007609D4">
            <w:pPr>
              <w:jc w:val="both"/>
            </w:pPr>
          </w:p>
          <w:p w:rsidR="008D3F10" w:rsidRPr="004F1454" w:rsidRDefault="008D3F10" w:rsidP="004F1454">
            <w:pPr>
              <w:jc w:val="both"/>
              <w:rPr>
                <w:b/>
                <w:color w:val="FF0000"/>
              </w:rPr>
            </w:pPr>
          </w:p>
        </w:tc>
        <w:tc>
          <w:tcPr>
            <w:tcW w:w="2410" w:type="dxa"/>
            <w:tcBorders>
              <w:bottom w:val="single" w:sz="4" w:space="0" w:color="auto"/>
            </w:tcBorders>
          </w:tcPr>
          <w:p w:rsidR="008D3F10" w:rsidRPr="005B58D2" w:rsidRDefault="008D3F10" w:rsidP="00503667">
            <w:pPr>
              <w:jc w:val="both"/>
              <w:rPr>
                <w:b/>
              </w:rPr>
            </w:pPr>
            <w:r w:rsidRPr="005B58D2">
              <w:rPr>
                <w:b/>
              </w:rPr>
              <w:t xml:space="preserve">By </w:t>
            </w:r>
            <w:r w:rsidR="00103CBC">
              <w:rPr>
                <w:b/>
              </w:rPr>
              <w:t>2</w:t>
            </w:r>
            <w:r w:rsidR="000F716E">
              <w:rPr>
                <w:b/>
              </w:rPr>
              <w:t>5</w:t>
            </w:r>
            <w:r w:rsidRPr="005B58D2">
              <w:rPr>
                <w:b/>
              </w:rPr>
              <w:t xml:space="preserve"> Ju</w:t>
            </w:r>
            <w:r w:rsidR="000F716E">
              <w:rPr>
                <w:b/>
              </w:rPr>
              <w:t>ly</w:t>
            </w:r>
            <w:r w:rsidRPr="005B58D2">
              <w:rPr>
                <w:b/>
              </w:rPr>
              <w:t xml:space="preserve"> 2018</w:t>
            </w:r>
          </w:p>
          <w:p w:rsidR="008D3F10" w:rsidRDefault="000F716E" w:rsidP="00503667">
            <w:pPr>
              <w:jc w:val="both"/>
              <w:rPr>
                <w:i/>
              </w:rPr>
            </w:pPr>
            <w:r>
              <w:rPr>
                <w:i/>
              </w:rPr>
              <w:t>CWG</w:t>
            </w:r>
            <w:r w:rsidR="00103CBC">
              <w:rPr>
                <w:i/>
              </w:rPr>
              <w:t xml:space="preserve"> (Francesca)</w:t>
            </w:r>
          </w:p>
          <w:p w:rsidR="008D3F10" w:rsidRPr="00103CBC" w:rsidRDefault="00103CBC" w:rsidP="00503667">
            <w:pPr>
              <w:jc w:val="both"/>
              <w:rPr>
                <w:color w:val="00B050"/>
              </w:rPr>
            </w:pPr>
            <w:r w:rsidRPr="00103CBC">
              <w:rPr>
                <w:b/>
                <w:color w:val="00B050"/>
              </w:rPr>
              <w:t>Completed</w:t>
            </w:r>
          </w:p>
          <w:p w:rsidR="008D3F10" w:rsidRDefault="008D3F10" w:rsidP="00503667">
            <w:pPr>
              <w:jc w:val="both"/>
              <w:rPr>
                <w:b/>
              </w:rPr>
            </w:pPr>
          </w:p>
          <w:p w:rsidR="008D3F10" w:rsidRPr="00663226" w:rsidRDefault="008D3F10" w:rsidP="005F26DC">
            <w:pPr>
              <w:jc w:val="both"/>
              <w:rPr>
                <w:b/>
              </w:rPr>
            </w:pPr>
          </w:p>
        </w:tc>
      </w:tr>
      <w:tr w:rsidR="008D3F10" w:rsidTr="00463B56">
        <w:tc>
          <w:tcPr>
            <w:tcW w:w="6912" w:type="dxa"/>
            <w:vMerge/>
            <w:shd w:val="clear" w:color="auto" w:fill="F2F2F2" w:themeFill="background1" w:themeFillShade="F2"/>
          </w:tcPr>
          <w:p w:rsidR="008D3F10" w:rsidRDefault="008D3F10" w:rsidP="008D3F10">
            <w:pPr>
              <w:pStyle w:val="ListParagraph"/>
              <w:tabs>
                <w:tab w:val="left" w:pos="0"/>
              </w:tabs>
              <w:ind w:left="360"/>
              <w:jc w:val="both"/>
            </w:pPr>
          </w:p>
        </w:tc>
        <w:tc>
          <w:tcPr>
            <w:tcW w:w="4820" w:type="dxa"/>
          </w:tcPr>
          <w:p w:rsidR="008D3F10" w:rsidRDefault="008D3F10" w:rsidP="008D3F10">
            <w:pPr>
              <w:jc w:val="both"/>
            </w:pPr>
            <w:r>
              <w:rPr>
                <w:b/>
              </w:rPr>
              <w:t xml:space="preserve">2. </w:t>
            </w:r>
            <w:r w:rsidR="00103CBC">
              <w:rPr>
                <w:b/>
              </w:rPr>
              <w:t xml:space="preserve"> </w:t>
            </w:r>
            <w:r w:rsidRPr="002353F2">
              <w:rPr>
                <w:b/>
              </w:rPr>
              <w:t xml:space="preserve">Social Protection </w:t>
            </w:r>
            <w:r>
              <w:rPr>
                <w:b/>
              </w:rPr>
              <w:t>F</w:t>
            </w:r>
            <w:r w:rsidRPr="002353F2">
              <w:rPr>
                <w:b/>
              </w:rPr>
              <w:t>or</w:t>
            </w:r>
            <w:r>
              <w:rPr>
                <w:b/>
              </w:rPr>
              <w:t>u</w:t>
            </w:r>
            <w:r w:rsidRPr="002353F2">
              <w:rPr>
                <w:b/>
              </w:rPr>
              <w:t>m:</w:t>
            </w:r>
            <w:r>
              <w:t xml:space="preserve"> Hold an informal Social Protection Forum to brief wider international community on workshop outcomes and gauge interest</w:t>
            </w:r>
            <w:r w:rsidR="00DD2DC0">
              <w:t xml:space="preserve"> in participation</w:t>
            </w:r>
            <w:r>
              <w:t xml:space="preserve">; Coordinate engagement between </w:t>
            </w:r>
            <w:r w:rsidR="00DD2DC0">
              <w:t>G</w:t>
            </w:r>
            <w:r>
              <w:t>overnment and humanitarian SP actors on monthly basis; Create platform TORs</w:t>
            </w:r>
            <w:r w:rsidR="00DD2DC0">
              <w:t xml:space="preserve"> and consider funding opportunities to support implementation of Action Plan</w:t>
            </w:r>
            <w:r>
              <w:t xml:space="preserve">. </w:t>
            </w:r>
          </w:p>
          <w:p w:rsidR="008D3F10" w:rsidRDefault="008D3F10" w:rsidP="007609D4">
            <w:pPr>
              <w:pStyle w:val="ListParagraph"/>
              <w:ind w:left="5"/>
              <w:jc w:val="both"/>
              <w:rPr>
                <w:b/>
              </w:rPr>
            </w:pPr>
          </w:p>
        </w:tc>
        <w:tc>
          <w:tcPr>
            <w:tcW w:w="2410" w:type="dxa"/>
          </w:tcPr>
          <w:p w:rsidR="008D3F10" w:rsidRPr="005B58D2" w:rsidRDefault="00DD2DC0" w:rsidP="008D3F10">
            <w:pPr>
              <w:jc w:val="both"/>
              <w:rPr>
                <w:b/>
              </w:rPr>
            </w:pPr>
            <w:r>
              <w:rPr>
                <w:b/>
              </w:rPr>
              <w:t>By 15 October</w:t>
            </w:r>
            <w:r w:rsidR="008D3F10" w:rsidRPr="005B58D2">
              <w:rPr>
                <w:b/>
              </w:rPr>
              <w:t xml:space="preserve"> 2018</w:t>
            </w:r>
          </w:p>
          <w:p w:rsidR="008D3F10" w:rsidRPr="005B58D2" w:rsidRDefault="008D3F10" w:rsidP="008D3F10">
            <w:pPr>
              <w:jc w:val="both"/>
              <w:rPr>
                <w:i/>
              </w:rPr>
            </w:pPr>
            <w:r w:rsidRPr="005B58D2">
              <w:rPr>
                <w:i/>
              </w:rPr>
              <w:t>World Bank</w:t>
            </w:r>
            <w:r w:rsidR="0042252B">
              <w:rPr>
                <w:i/>
              </w:rPr>
              <w:t xml:space="preserve"> (Ramzi</w:t>
            </w:r>
            <w:r w:rsidRPr="005B58D2">
              <w:rPr>
                <w:i/>
              </w:rPr>
              <w:t xml:space="preserve">) </w:t>
            </w:r>
            <w:r w:rsidR="00DD2DC0">
              <w:rPr>
                <w:i/>
              </w:rPr>
              <w:t>with</w:t>
            </w:r>
            <w:r w:rsidRPr="005B58D2">
              <w:rPr>
                <w:i/>
              </w:rPr>
              <w:t xml:space="preserve"> MoLSA</w:t>
            </w:r>
            <w:r w:rsidR="00DD2DC0">
              <w:rPr>
                <w:i/>
              </w:rPr>
              <w:t xml:space="preserve"> to initiate.  </w:t>
            </w:r>
          </w:p>
          <w:p w:rsidR="008D3F10" w:rsidRDefault="008D3F10" w:rsidP="008D3F10">
            <w:pPr>
              <w:jc w:val="both"/>
              <w:rPr>
                <w:b/>
              </w:rPr>
            </w:pPr>
          </w:p>
          <w:p w:rsidR="008D3F10" w:rsidRPr="005B58D2" w:rsidRDefault="008D3F10" w:rsidP="00DD2DC0">
            <w:pPr>
              <w:jc w:val="both"/>
              <w:rPr>
                <w:b/>
              </w:rPr>
            </w:pPr>
          </w:p>
        </w:tc>
      </w:tr>
      <w:tr w:rsidR="008D3F10" w:rsidTr="00463B56">
        <w:tc>
          <w:tcPr>
            <w:tcW w:w="6912" w:type="dxa"/>
            <w:vMerge/>
            <w:shd w:val="clear" w:color="auto" w:fill="F2F2F2" w:themeFill="background1" w:themeFillShade="F2"/>
          </w:tcPr>
          <w:p w:rsidR="008D3F10" w:rsidRDefault="008D3F10" w:rsidP="008D3F10">
            <w:pPr>
              <w:pStyle w:val="ListParagraph"/>
              <w:tabs>
                <w:tab w:val="left" w:pos="0"/>
              </w:tabs>
              <w:ind w:left="360"/>
              <w:jc w:val="both"/>
            </w:pPr>
          </w:p>
        </w:tc>
        <w:tc>
          <w:tcPr>
            <w:tcW w:w="4820" w:type="dxa"/>
          </w:tcPr>
          <w:p w:rsidR="008D3F10" w:rsidRDefault="008D3F10" w:rsidP="008D3F10">
            <w:pPr>
              <w:jc w:val="both"/>
            </w:pPr>
            <w:r>
              <w:rPr>
                <w:b/>
              </w:rPr>
              <w:t>3</w:t>
            </w:r>
            <w:r w:rsidRPr="00B90B87">
              <w:rPr>
                <w:b/>
              </w:rPr>
              <w:t>.</w:t>
            </w:r>
            <w:r>
              <w:t xml:space="preserve"> </w:t>
            </w:r>
            <w:r>
              <w:rPr>
                <w:b/>
              </w:rPr>
              <w:t xml:space="preserve">Broader MoLSA/Cluster Linkages: </w:t>
            </w:r>
            <w:r>
              <w:t>MoLSA to share</w:t>
            </w:r>
            <w:r w:rsidR="00DD2DC0">
              <w:t xml:space="preserve"> its SPN and broader Ministerial</w:t>
            </w:r>
            <w:r>
              <w:t xml:space="preserve"> organogram</w:t>
            </w:r>
            <w:r w:rsidR="00DD2DC0">
              <w:t xml:space="preserve"> so others can be clear on its mandate and areas of focus</w:t>
            </w:r>
            <w:r>
              <w:t>; Social Protection Forum to discuss strategy to further engage additionally relevant MoLSA Departments and Clusters in coordination effor</w:t>
            </w:r>
            <w:r w:rsidR="00DD2DC0">
              <w:t xml:space="preserve">ts while avoiding fragmentation. Recommended first step to consider is a half day meeting where MoLSA can present to the Inter Cluster Coordination Group (ICCG) its work, and the ICCG can present also to MoLSA. </w:t>
            </w:r>
          </w:p>
          <w:p w:rsidR="008D3F10" w:rsidRDefault="008D3F10" w:rsidP="007609D4">
            <w:pPr>
              <w:pStyle w:val="ListParagraph"/>
              <w:ind w:left="5"/>
              <w:jc w:val="both"/>
              <w:rPr>
                <w:b/>
              </w:rPr>
            </w:pPr>
          </w:p>
        </w:tc>
        <w:tc>
          <w:tcPr>
            <w:tcW w:w="2410" w:type="dxa"/>
          </w:tcPr>
          <w:p w:rsidR="008D3F10" w:rsidRPr="005B58D2" w:rsidRDefault="008D3F10" w:rsidP="008D3F10">
            <w:pPr>
              <w:jc w:val="both"/>
              <w:rPr>
                <w:b/>
              </w:rPr>
            </w:pPr>
            <w:r w:rsidRPr="005B58D2">
              <w:rPr>
                <w:b/>
              </w:rPr>
              <w:t xml:space="preserve">By 30 </w:t>
            </w:r>
            <w:r w:rsidR="00895940">
              <w:rPr>
                <w:b/>
              </w:rPr>
              <w:t>November</w:t>
            </w:r>
            <w:r w:rsidRPr="005B58D2">
              <w:rPr>
                <w:b/>
              </w:rPr>
              <w:t xml:space="preserve"> 2018</w:t>
            </w:r>
          </w:p>
          <w:p w:rsidR="008D3F10" w:rsidRPr="005B58D2" w:rsidRDefault="00895940" w:rsidP="00895940">
            <w:pPr>
              <w:jc w:val="both"/>
              <w:rPr>
                <w:b/>
              </w:rPr>
            </w:pPr>
            <w:r>
              <w:rPr>
                <w:i/>
              </w:rPr>
              <w:t xml:space="preserve">Social Protection Forum to follow up with a plan. </w:t>
            </w:r>
          </w:p>
        </w:tc>
      </w:tr>
      <w:tr w:rsidR="00974FCC" w:rsidTr="00463B56">
        <w:tc>
          <w:tcPr>
            <w:tcW w:w="14142" w:type="dxa"/>
            <w:gridSpan w:val="3"/>
            <w:shd w:val="clear" w:color="auto" w:fill="A8D08D" w:themeFill="accent6" w:themeFillTint="99"/>
          </w:tcPr>
          <w:p w:rsidR="00974FCC" w:rsidRDefault="00974FCC" w:rsidP="005F26DC">
            <w:pPr>
              <w:jc w:val="both"/>
              <w:rPr>
                <w:b/>
              </w:rPr>
            </w:pPr>
            <w:r>
              <w:rPr>
                <w:b/>
              </w:rPr>
              <w:t>ELIGIBILITY CRITERIA</w:t>
            </w:r>
          </w:p>
          <w:p w:rsidR="004F1454" w:rsidRPr="00663226" w:rsidRDefault="004F1454" w:rsidP="005F26DC">
            <w:pPr>
              <w:jc w:val="both"/>
              <w:rPr>
                <w:b/>
              </w:rPr>
            </w:pPr>
          </w:p>
        </w:tc>
      </w:tr>
      <w:tr w:rsidR="008D3F10" w:rsidTr="009D7E8A">
        <w:trPr>
          <w:trHeight w:val="629"/>
        </w:trPr>
        <w:tc>
          <w:tcPr>
            <w:tcW w:w="6912" w:type="dxa"/>
            <w:vMerge w:val="restart"/>
            <w:shd w:val="clear" w:color="auto" w:fill="E2EFD9" w:themeFill="accent6" w:themeFillTint="33"/>
          </w:tcPr>
          <w:p w:rsidR="008D3F10" w:rsidRDefault="00285885" w:rsidP="005F4A22">
            <w:pPr>
              <w:pStyle w:val="ListParagraph"/>
              <w:numPr>
                <w:ilvl w:val="0"/>
                <w:numId w:val="15"/>
              </w:numPr>
              <w:tabs>
                <w:tab w:val="left" w:pos="0"/>
              </w:tabs>
              <w:ind w:left="117" w:firstLine="283"/>
              <w:jc w:val="both"/>
            </w:pPr>
            <w:r>
              <w:t xml:space="preserve">The CWG and MoLSA both use proxy means testing (PMT) to determine programme eligibility – though each rely on a different set of factors and scoring approach. </w:t>
            </w:r>
            <w:r w:rsidR="008D3F10" w:rsidRPr="005D583E">
              <w:t xml:space="preserve">Strong similarities </w:t>
            </w:r>
            <w:r w:rsidR="008D3F10">
              <w:t xml:space="preserve">were identified between </w:t>
            </w:r>
            <w:r w:rsidR="008D3F10" w:rsidRPr="005D583E">
              <w:t xml:space="preserve">five eligibility criteria </w:t>
            </w:r>
            <w:r w:rsidR="008D3F10">
              <w:t>in the CWG</w:t>
            </w:r>
            <w:r>
              <w:t>’s</w:t>
            </w:r>
            <w:r w:rsidR="00C47EE1">
              <w:t xml:space="preserve"> current </w:t>
            </w:r>
            <w:r>
              <w:t>PMT</w:t>
            </w:r>
            <w:r w:rsidR="00C47EE1">
              <w:t xml:space="preserve"> </w:t>
            </w:r>
            <w:r w:rsidR="008D3F10">
              <w:t>and MoLSA’s. Participants agreed that it would be important to compare</w:t>
            </w:r>
            <w:r w:rsidR="00C47EE1">
              <w:t xml:space="preserve"> the two PMTs to understand the degree of synerg</w:t>
            </w:r>
            <w:r>
              <w:t>y.</w:t>
            </w:r>
            <w:r w:rsidR="008D3F10">
              <w:t xml:space="preserve"> </w:t>
            </w:r>
          </w:p>
          <w:p w:rsidR="008D3F10" w:rsidRDefault="008D3F10" w:rsidP="00943E77">
            <w:pPr>
              <w:pStyle w:val="ListParagraph"/>
            </w:pPr>
          </w:p>
          <w:p w:rsidR="008D3F10" w:rsidRDefault="008D3F10" w:rsidP="00943E77">
            <w:pPr>
              <w:pStyle w:val="ListParagraph"/>
              <w:numPr>
                <w:ilvl w:val="0"/>
                <w:numId w:val="15"/>
              </w:numPr>
              <w:tabs>
                <w:tab w:val="left" w:pos="0"/>
              </w:tabs>
              <w:ind w:left="117" w:firstLine="283"/>
              <w:jc w:val="both"/>
            </w:pPr>
            <w:r>
              <w:t xml:space="preserve">Without collecting any additional information or sharing data between partners, a proposed first step is for CWG members to </w:t>
            </w:r>
            <w:r w:rsidR="00C47EE1">
              <w:t>compare findings for inclusion and exclusion</w:t>
            </w:r>
            <w:r w:rsidR="00285885">
              <w:t xml:space="preserve"> through a desk review.</w:t>
            </w:r>
            <w:r w:rsidR="00704BC8">
              <w:t xml:space="preserve"> </w:t>
            </w:r>
            <w:r>
              <w:t xml:space="preserve">Results will not be exact, but will give an indication of which humanitarian beneficiaries would be likely to qualify for MoLSA SSN, to help inform next steps. </w:t>
            </w:r>
          </w:p>
          <w:p w:rsidR="008D3F10" w:rsidRDefault="008D3F10" w:rsidP="00CB498B">
            <w:pPr>
              <w:pStyle w:val="ListParagraph"/>
            </w:pPr>
          </w:p>
          <w:p w:rsidR="008D3F10" w:rsidRDefault="008D3F10" w:rsidP="00943E77">
            <w:pPr>
              <w:pStyle w:val="ListParagraph"/>
              <w:numPr>
                <w:ilvl w:val="0"/>
                <w:numId w:val="15"/>
              </w:numPr>
              <w:tabs>
                <w:tab w:val="left" w:pos="0"/>
              </w:tabs>
              <w:ind w:left="117" w:firstLine="283"/>
              <w:jc w:val="both"/>
            </w:pPr>
            <w:r>
              <w:t xml:space="preserve">Depending on the results of the desk review, partners may decide to compare the </w:t>
            </w:r>
            <w:r w:rsidR="00704BC8">
              <w:t xml:space="preserve">overlap of the </w:t>
            </w:r>
            <w:r>
              <w:t>actual criteria</w:t>
            </w:r>
            <w:r w:rsidR="00704BC8">
              <w:t xml:space="preserve"> either through a pilot with new joint CWG/MoLSA PMT household assessments or through existing household data. </w:t>
            </w:r>
            <w:r>
              <w:t xml:space="preserve"> </w:t>
            </w:r>
          </w:p>
          <w:p w:rsidR="008D3F10" w:rsidRDefault="00704BC8" w:rsidP="00943E77">
            <w:pPr>
              <w:pStyle w:val="ListParagraph"/>
            </w:pPr>
            <w:r>
              <w:t xml:space="preserve"> </w:t>
            </w:r>
          </w:p>
          <w:p w:rsidR="008D3F10" w:rsidRDefault="008D3F10" w:rsidP="00943E77">
            <w:pPr>
              <w:pStyle w:val="ListParagraph"/>
              <w:numPr>
                <w:ilvl w:val="0"/>
                <w:numId w:val="15"/>
              </w:numPr>
              <w:tabs>
                <w:tab w:val="left" w:pos="0"/>
              </w:tabs>
              <w:ind w:left="117" w:firstLine="283"/>
              <w:jc w:val="both"/>
            </w:pPr>
            <w:r>
              <w:t xml:space="preserve">If there is a high degree of overlap, the case for humanitarian referral to MoLSA will be stronger and mechanism for </w:t>
            </w:r>
            <w:r w:rsidR="00C94F43">
              <w:t xml:space="preserve">registration, </w:t>
            </w:r>
            <w:r>
              <w:lastRenderedPageBreak/>
              <w:t>referral and information sharing will need to be further considered</w:t>
            </w:r>
            <w:r w:rsidR="00704BC8">
              <w:t xml:space="preserve">, particularly with respect to MoLSA’s assessment of their absorption capacity. </w:t>
            </w:r>
            <w:r>
              <w:t xml:space="preserve">Any referrals </w:t>
            </w:r>
            <w:r w:rsidR="00C94F43">
              <w:t xml:space="preserve">could be enabled by humanitarian actors providing support to households who wish to register and </w:t>
            </w:r>
            <w:r>
              <w:t>would involve minimal information sharing, specifically basic identification data such as names and contact information, and require consent. MoLSA social workers would thereafter conduct their own assessment before deciding on whether to deem the household eligible.</w:t>
            </w:r>
          </w:p>
          <w:p w:rsidR="008D3F10" w:rsidRDefault="008D3F10" w:rsidP="008D3F10">
            <w:pPr>
              <w:pStyle w:val="ListParagraph"/>
            </w:pPr>
          </w:p>
          <w:p w:rsidR="008D3F10" w:rsidRDefault="008D3F10" w:rsidP="004F1454">
            <w:pPr>
              <w:pStyle w:val="ListParagraph"/>
              <w:numPr>
                <w:ilvl w:val="0"/>
                <w:numId w:val="15"/>
              </w:numPr>
              <w:tabs>
                <w:tab w:val="left" w:pos="0"/>
              </w:tabs>
              <w:ind w:left="117" w:firstLine="283"/>
              <w:jc w:val="both"/>
            </w:pPr>
            <w:r>
              <w:t>Outcomes of working groups covering Referrals and Information Management/Sharing will help address a number of the concerns around confidentiality and consent that were raised during the workshop and this group’s discussions.</w:t>
            </w:r>
          </w:p>
        </w:tc>
        <w:tc>
          <w:tcPr>
            <w:tcW w:w="4820" w:type="dxa"/>
          </w:tcPr>
          <w:p w:rsidR="008D3F10" w:rsidRPr="00EB2885" w:rsidRDefault="001B7600" w:rsidP="00962E83">
            <w:pPr>
              <w:pStyle w:val="ListParagraph"/>
              <w:numPr>
                <w:ilvl w:val="0"/>
                <w:numId w:val="6"/>
              </w:numPr>
              <w:tabs>
                <w:tab w:val="left" w:pos="317"/>
              </w:tabs>
              <w:ind w:left="0" w:firstLine="34"/>
              <w:jc w:val="both"/>
              <w:rPr>
                <w:b/>
              </w:rPr>
            </w:pPr>
            <w:r>
              <w:rPr>
                <w:b/>
              </w:rPr>
              <w:lastRenderedPageBreak/>
              <w:t xml:space="preserve">Targeting and Vulnerability Task Force (TVTF) </w:t>
            </w:r>
            <w:r w:rsidR="00EB2885">
              <w:rPr>
                <w:b/>
              </w:rPr>
              <w:t xml:space="preserve">Work Plan: </w:t>
            </w:r>
            <w:r w:rsidR="00EB2885" w:rsidRPr="00753AF1">
              <w:t xml:space="preserve">TVTF </w:t>
            </w:r>
            <w:r w:rsidRPr="00753AF1">
              <w:t>to meet</w:t>
            </w:r>
            <w:r>
              <w:rPr>
                <w:b/>
              </w:rPr>
              <w:t xml:space="preserve"> </w:t>
            </w:r>
            <w:r>
              <w:t xml:space="preserve">and develop </w:t>
            </w:r>
            <w:r w:rsidR="00EB2885">
              <w:t xml:space="preserve">a </w:t>
            </w:r>
            <w:r>
              <w:t>work</w:t>
            </w:r>
            <w:r w:rsidRPr="00285885">
              <w:t xml:space="preserve"> plan for the</w:t>
            </w:r>
            <w:r>
              <w:rPr>
                <w:b/>
              </w:rPr>
              <w:t xml:space="preserve"> </w:t>
            </w:r>
            <w:r w:rsidRPr="0073681F">
              <w:t>analysis on complementarity of eligibility criteria</w:t>
            </w:r>
            <w:r w:rsidR="00EB2885">
              <w:t>.</w:t>
            </w:r>
          </w:p>
          <w:p w:rsidR="008D3F10" w:rsidRDefault="008D3F10" w:rsidP="00962E83">
            <w:pPr>
              <w:pStyle w:val="ListParagraph"/>
              <w:ind w:left="0"/>
              <w:jc w:val="both"/>
            </w:pPr>
          </w:p>
        </w:tc>
        <w:tc>
          <w:tcPr>
            <w:tcW w:w="2410" w:type="dxa"/>
          </w:tcPr>
          <w:p w:rsidR="00EB2885" w:rsidRDefault="008D3F10" w:rsidP="005F26DC">
            <w:pPr>
              <w:jc w:val="both"/>
              <w:rPr>
                <w:b/>
              </w:rPr>
            </w:pPr>
            <w:r w:rsidRPr="00663226">
              <w:rPr>
                <w:b/>
              </w:rPr>
              <w:t xml:space="preserve">By </w:t>
            </w:r>
            <w:r w:rsidR="00EB2885">
              <w:rPr>
                <w:b/>
              </w:rPr>
              <w:t>15</w:t>
            </w:r>
            <w:r w:rsidR="000F716E">
              <w:rPr>
                <w:b/>
              </w:rPr>
              <w:t xml:space="preserve"> </w:t>
            </w:r>
            <w:r w:rsidR="00EB2885">
              <w:rPr>
                <w:b/>
              </w:rPr>
              <w:t>Aug</w:t>
            </w:r>
            <w:r w:rsidRPr="00663226">
              <w:rPr>
                <w:b/>
              </w:rPr>
              <w:t xml:space="preserve"> 2018</w:t>
            </w:r>
            <w:r>
              <w:rPr>
                <w:b/>
              </w:rPr>
              <w:t xml:space="preserve"> </w:t>
            </w:r>
          </w:p>
          <w:p w:rsidR="001B7600" w:rsidRPr="00EB2885" w:rsidRDefault="001B7600" w:rsidP="005F26DC">
            <w:pPr>
              <w:jc w:val="both"/>
              <w:rPr>
                <w:i/>
              </w:rPr>
            </w:pPr>
            <w:r w:rsidRPr="00EB2885">
              <w:rPr>
                <w:i/>
              </w:rPr>
              <w:t>CWG</w:t>
            </w:r>
            <w:r w:rsidR="00753AF1">
              <w:rPr>
                <w:i/>
              </w:rPr>
              <w:t xml:space="preserve"> members in TVTF</w:t>
            </w:r>
          </w:p>
          <w:p w:rsidR="001B7600" w:rsidRDefault="001B7600" w:rsidP="005F26DC">
            <w:pPr>
              <w:jc w:val="both"/>
              <w:rPr>
                <w:b/>
              </w:rPr>
            </w:pPr>
          </w:p>
          <w:p w:rsidR="001B7600" w:rsidRPr="008D3F10" w:rsidRDefault="001B7600" w:rsidP="00EB2885">
            <w:pPr>
              <w:jc w:val="both"/>
              <w:rPr>
                <w:i/>
              </w:rPr>
            </w:pPr>
          </w:p>
        </w:tc>
      </w:tr>
      <w:tr w:rsidR="00EB2885" w:rsidTr="00463B56">
        <w:trPr>
          <w:trHeight w:val="1084"/>
        </w:trPr>
        <w:tc>
          <w:tcPr>
            <w:tcW w:w="6912" w:type="dxa"/>
            <w:vMerge/>
            <w:shd w:val="clear" w:color="auto" w:fill="E2EFD9" w:themeFill="accent6" w:themeFillTint="33"/>
          </w:tcPr>
          <w:p w:rsidR="00EB2885" w:rsidRPr="005D583E" w:rsidRDefault="00EB2885" w:rsidP="008D3F10">
            <w:pPr>
              <w:pStyle w:val="ListParagraph"/>
              <w:tabs>
                <w:tab w:val="left" w:pos="0"/>
              </w:tabs>
              <w:ind w:left="400"/>
              <w:jc w:val="both"/>
            </w:pPr>
          </w:p>
        </w:tc>
        <w:tc>
          <w:tcPr>
            <w:tcW w:w="4820" w:type="dxa"/>
          </w:tcPr>
          <w:p w:rsidR="00EB2885" w:rsidRPr="00EB2885" w:rsidRDefault="0042252B" w:rsidP="0042252B">
            <w:pPr>
              <w:pStyle w:val="ListParagraph"/>
              <w:ind w:left="34"/>
              <w:jc w:val="both"/>
              <w:rPr>
                <w:b/>
              </w:rPr>
            </w:pPr>
            <w:r>
              <w:rPr>
                <w:b/>
              </w:rPr>
              <w:t>2. “Pseudo MoLSA PMT Formula” Development</w:t>
            </w:r>
            <w:r w:rsidR="00EB2885" w:rsidRPr="00EB2885">
              <w:rPr>
                <w:b/>
              </w:rPr>
              <w:t xml:space="preserve">: </w:t>
            </w:r>
            <w:r w:rsidR="00EB2885">
              <w:t xml:space="preserve">World Bank to compare the process and data sets used to develop both scoring models </w:t>
            </w:r>
            <w:r>
              <w:t>with</w:t>
            </w:r>
            <w:r w:rsidR="00EB2885">
              <w:t xml:space="preserve"> the common variables and weight. World Bank to share a </w:t>
            </w:r>
            <w:r>
              <w:t>“</w:t>
            </w:r>
            <w:r w:rsidR="00EB2885">
              <w:t>pseudo MoLSA PMT</w:t>
            </w:r>
            <w:r>
              <w:t>”</w:t>
            </w:r>
            <w:r w:rsidR="00EB2885">
              <w:t xml:space="preserve"> </w:t>
            </w:r>
            <w:r>
              <w:t>for</w:t>
            </w:r>
            <w:r w:rsidR="00EB2885">
              <w:t xml:space="preserve"> TVTF to carry out </w:t>
            </w:r>
            <w:r>
              <w:t xml:space="preserve">their </w:t>
            </w:r>
            <w:r w:rsidR="00EB2885">
              <w:t xml:space="preserve">desk review and analysis.  </w:t>
            </w:r>
          </w:p>
          <w:p w:rsidR="00EB2885" w:rsidRPr="00EB2885" w:rsidDel="001B7600" w:rsidRDefault="00EB2885" w:rsidP="00EB2885">
            <w:pPr>
              <w:tabs>
                <w:tab w:val="left" w:pos="5"/>
              </w:tabs>
              <w:jc w:val="both"/>
              <w:rPr>
                <w:b/>
              </w:rPr>
            </w:pPr>
          </w:p>
        </w:tc>
        <w:tc>
          <w:tcPr>
            <w:tcW w:w="2410" w:type="dxa"/>
          </w:tcPr>
          <w:p w:rsidR="0042252B" w:rsidRDefault="00EB2885" w:rsidP="00EB2885">
            <w:pPr>
              <w:jc w:val="both"/>
              <w:rPr>
                <w:b/>
              </w:rPr>
            </w:pPr>
            <w:r>
              <w:rPr>
                <w:b/>
              </w:rPr>
              <w:t xml:space="preserve">By </w:t>
            </w:r>
            <w:r w:rsidR="0042252B">
              <w:rPr>
                <w:b/>
              </w:rPr>
              <w:t>1</w:t>
            </w:r>
            <w:r w:rsidR="00753AF1">
              <w:rPr>
                <w:b/>
              </w:rPr>
              <w:t>0</w:t>
            </w:r>
            <w:r>
              <w:rPr>
                <w:b/>
              </w:rPr>
              <w:t xml:space="preserve"> </w:t>
            </w:r>
            <w:r w:rsidR="0042252B">
              <w:rPr>
                <w:b/>
              </w:rPr>
              <w:t>Sept 2018</w:t>
            </w:r>
          </w:p>
          <w:p w:rsidR="00EB2885" w:rsidRPr="0042252B" w:rsidRDefault="00EB2885" w:rsidP="00EB2885">
            <w:pPr>
              <w:jc w:val="both"/>
              <w:rPr>
                <w:b/>
              </w:rPr>
            </w:pPr>
            <w:r>
              <w:rPr>
                <w:i/>
              </w:rPr>
              <w:t>World Bank</w:t>
            </w:r>
            <w:r w:rsidR="0042252B">
              <w:rPr>
                <w:i/>
              </w:rPr>
              <w:t xml:space="preserve"> (Matthew</w:t>
            </w:r>
            <w:r w:rsidRPr="00663226">
              <w:rPr>
                <w:i/>
              </w:rPr>
              <w:t>)</w:t>
            </w:r>
            <w:r>
              <w:rPr>
                <w:i/>
              </w:rPr>
              <w:t xml:space="preserve"> </w:t>
            </w:r>
          </w:p>
          <w:p w:rsidR="00EB2885" w:rsidRPr="00663226" w:rsidRDefault="00EB2885" w:rsidP="008D3F10">
            <w:pPr>
              <w:jc w:val="both"/>
              <w:rPr>
                <w:b/>
              </w:rPr>
            </w:pPr>
          </w:p>
        </w:tc>
      </w:tr>
      <w:tr w:rsidR="00EB2885" w:rsidTr="00463B56">
        <w:trPr>
          <w:trHeight w:val="1084"/>
        </w:trPr>
        <w:tc>
          <w:tcPr>
            <w:tcW w:w="6912" w:type="dxa"/>
            <w:vMerge/>
            <w:shd w:val="clear" w:color="auto" w:fill="E2EFD9" w:themeFill="accent6" w:themeFillTint="33"/>
          </w:tcPr>
          <w:p w:rsidR="00EB2885" w:rsidRPr="005D583E" w:rsidRDefault="00EB2885" w:rsidP="008D3F10">
            <w:pPr>
              <w:pStyle w:val="ListParagraph"/>
              <w:tabs>
                <w:tab w:val="left" w:pos="0"/>
              </w:tabs>
              <w:ind w:left="400"/>
              <w:jc w:val="both"/>
            </w:pPr>
          </w:p>
        </w:tc>
        <w:tc>
          <w:tcPr>
            <w:tcW w:w="4820" w:type="dxa"/>
          </w:tcPr>
          <w:p w:rsidR="00EB2885" w:rsidRPr="00EB2885" w:rsidRDefault="0042252B" w:rsidP="0042252B">
            <w:pPr>
              <w:pStyle w:val="ListParagraph"/>
              <w:tabs>
                <w:tab w:val="left" w:pos="34"/>
              </w:tabs>
              <w:ind w:left="0"/>
              <w:jc w:val="both"/>
              <w:rPr>
                <w:b/>
              </w:rPr>
            </w:pPr>
            <w:r>
              <w:rPr>
                <w:b/>
              </w:rPr>
              <w:t xml:space="preserve">3. </w:t>
            </w:r>
            <w:r w:rsidR="00753AF1">
              <w:rPr>
                <w:b/>
              </w:rPr>
              <w:t xml:space="preserve">Desk Review: </w:t>
            </w:r>
            <w:r w:rsidR="00753AF1" w:rsidRPr="00753AF1">
              <w:t xml:space="preserve">TVTF </w:t>
            </w:r>
            <w:r w:rsidR="00EB2885">
              <w:t>to initiate desk review applying PMT on MPCA assessment data and determine complementarity</w:t>
            </w:r>
            <w:r w:rsidR="00753AF1">
              <w:t>.</w:t>
            </w:r>
          </w:p>
          <w:p w:rsidR="00EB2885" w:rsidRPr="00EB2885" w:rsidDel="001B7600" w:rsidRDefault="00EB2885" w:rsidP="00EB2885">
            <w:pPr>
              <w:tabs>
                <w:tab w:val="left" w:pos="5"/>
              </w:tabs>
              <w:jc w:val="both"/>
              <w:rPr>
                <w:b/>
              </w:rPr>
            </w:pPr>
          </w:p>
        </w:tc>
        <w:tc>
          <w:tcPr>
            <w:tcW w:w="2410" w:type="dxa"/>
          </w:tcPr>
          <w:p w:rsidR="00EB2885" w:rsidRPr="00663226" w:rsidRDefault="00EB2885" w:rsidP="00EB2885">
            <w:pPr>
              <w:jc w:val="both"/>
              <w:rPr>
                <w:b/>
              </w:rPr>
            </w:pPr>
            <w:r w:rsidRPr="00663226">
              <w:rPr>
                <w:b/>
              </w:rPr>
              <w:t xml:space="preserve">By </w:t>
            </w:r>
            <w:r w:rsidR="00753AF1">
              <w:rPr>
                <w:b/>
              </w:rPr>
              <w:t>3</w:t>
            </w:r>
            <w:r>
              <w:rPr>
                <w:b/>
              </w:rPr>
              <w:t>0</w:t>
            </w:r>
            <w:r w:rsidRPr="00663226">
              <w:rPr>
                <w:b/>
              </w:rPr>
              <w:t xml:space="preserve"> </w:t>
            </w:r>
            <w:r w:rsidR="00753AF1">
              <w:rPr>
                <w:b/>
              </w:rPr>
              <w:t>Sept</w:t>
            </w:r>
            <w:r w:rsidRPr="00663226">
              <w:rPr>
                <w:b/>
              </w:rPr>
              <w:t xml:space="preserve"> 2018</w:t>
            </w:r>
          </w:p>
          <w:p w:rsidR="00EB2885" w:rsidRDefault="00EB2885" w:rsidP="00EB2885">
            <w:pPr>
              <w:jc w:val="both"/>
              <w:rPr>
                <w:i/>
              </w:rPr>
            </w:pPr>
            <w:r>
              <w:rPr>
                <w:i/>
              </w:rPr>
              <w:t>TVTF</w:t>
            </w:r>
            <w:r w:rsidRPr="00663226">
              <w:rPr>
                <w:i/>
              </w:rPr>
              <w:t xml:space="preserve"> </w:t>
            </w:r>
          </w:p>
          <w:p w:rsidR="00EB2885" w:rsidRPr="00663226" w:rsidRDefault="00EB2885" w:rsidP="008D3F10">
            <w:pPr>
              <w:jc w:val="both"/>
              <w:rPr>
                <w:b/>
              </w:rPr>
            </w:pPr>
          </w:p>
        </w:tc>
      </w:tr>
      <w:tr w:rsidR="00EB2885" w:rsidTr="00463B56">
        <w:trPr>
          <w:trHeight w:val="1084"/>
        </w:trPr>
        <w:tc>
          <w:tcPr>
            <w:tcW w:w="6912" w:type="dxa"/>
            <w:vMerge/>
            <w:shd w:val="clear" w:color="auto" w:fill="E2EFD9" w:themeFill="accent6" w:themeFillTint="33"/>
          </w:tcPr>
          <w:p w:rsidR="00EB2885" w:rsidRPr="005D583E" w:rsidRDefault="00EB2885" w:rsidP="008D3F10">
            <w:pPr>
              <w:pStyle w:val="ListParagraph"/>
              <w:tabs>
                <w:tab w:val="left" w:pos="0"/>
              </w:tabs>
              <w:ind w:left="400"/>
              <w:jc w:val="both"/>
            </w:pPr>
          </w:p>
        </w:tc>
        <w:tc>
          <w:tcPr>
            <w:tcW w:w="4820" w:type="dxa"/>
          </w:tcPr>
          <w:p w:rsidR="00EB2885" w:rsidRDefault="00EB2885" w:rsidP="0042252B">
            <w:pPr>
              <w:tabs>
                <w:tab w:val="left" w:pos="0"/>
              </w:tabs>
              <w:ind w:left="34"/>
              <w:jc w:val="both"/>
            </w:pPr>
            <w:r w:rsidRPr="00EB2885">
              <w:rPr>
                <w:b/>
              </w:rPr>
              <w:t>4.</w:t>
            </w:r>
            <w:r>
              <w:rPr>
                <w:b/>
              </w:rPr>
              <w:t xml:space="preserve"> </w:t>
            </w:r>
            <w:r w:rsidR="00753AF1">
              <w:rPr>
                <w:b/>
              </w:rPr>
              <w:t>Review MPCA Vulnerability Assessment Tool</w:t>
            </w:r>
            <w:r>
              <w:t xml:space="preserve">: </w:t>
            </w:r>
            <w:r w:rsidR="00753AF1">
              <w:t xml:space="preserve">TVTF to </w:t>
            </w:r>
            <w:r>
              <w:t xml:space="preserve">review MPCA scoring and indicators and analysis on feasibility to introduce </w:t>
            </w:r>
            <w:r w:rsidR="00753AF1">
              <w:t xml:space="preserve">some of the MoLSA PMT indicators </w:t>
            </w:r>
            <w:r>
              <w:t>in</w:t>
            </w:r>
            <w:r w:rsidR="00753AF1">
              <w:t>to</w:t>
            </w:r>
            <w:r>
              <w:t xml:space="preserve"> the CWG vulnerability assessment tool.</w:t>
            </w:r>
          </w:p>
          <w:p w:rsidR="0042252B" w:rsidRPr="00EB2885" w:rsidDel="001B7600" w:rsidRDefault="0042252B" w:rsidP="0042252B">
            <w:pPr>
              <w:tabs>
                <w:tab w:val="left" w:pos="0"/>
              </w:tabs>
              <w:ind w:left="34"/>
              <w:jc w:val="both"/>
              <w:rPr>
                <w:b/>
              </w:rPr>
            </w:pPr>
          </w:p>
        </w:tc>
        <w:tc>
          <w:tcPr>
            <w:tcW w:w="2410" w:type="dxa"/>
          </w:tcPr>
          <w:p w:rsidR="00EB2885" w:rsidRPr="00753AF1" w:rsidRDefault="00EB2885" w:rsidP="00EB2885">
            <w:pPr>
              <w:jc w:val="both"/>
            </w:pPr>
            <w:r w:rsidRPr="00753AF1">
              <w:rPr>
                <w:b/>
              </w:rPr>
              <w:t xml:space="preserve">By 15 </w:t>
            </w:r>
            <w:r w:rsidR="00753AF1">
              <w:rPr>
                <w:b/>
              </w:rPr>
              <w:t>Oct</w:t>
            </w:r>
            <w:r w:rsidRPr="00753AF1">
              <w:rPr>
                <w:b/>
              </w:rPr>
              <w:t xml:space="preserve"> 2018</w:t>
            </w:r>
          </w:p>
          <w:p w:rsidR="00EB2885" w:rsidRPr="00663226" w:rsidRDefault="00EB2885" w:rsidP="00D353D6">
            <w:pPr>
              <w:jc w:val="both"/>
              <w:rPr>
                <w:b/>
              </w:rPr>
            </w:pPr>
            <w:r>
              <w:rPr>
                <w:i/>
              </w:rPr>
              <w:t>TVTF</w:t>
            </w:r>
          </w:p>
        </w:tc>
      </w:tr>
      <w:tr w:rsidR="00EB2885" w:rsidTr="00463B56">
        <w:trPr>
          <w:trHeight w:val="1084"/>
        </w:trPr>
        <w:tc>
          <w:tcPr>
            <w:tcW w:w="6912" w:type="dxa"/>
            <w:vMerge/>
            <w:shd w:val="clear" w:color="auto" w:fill="E2EFD9" w:themeFill="accent6" w:themeFillTint="33"/>
          </w:tcPr>
          <w:p w:rsidR="00EB2885" w:rsidRPr="005D583E" w:rsidRDefault="00EB2885" w:rsidP="008D3F10">
            <w:pPr>
              <w:pStyle w:val="ListParagraph"/>
              <w:tabs>
                <w:tab w:val="left" w:pos="0"/>
              </w:tabs>
              <w:ind w:left="400"/>
              <w:jc w:val="both"/>
            </w:pPr>
          </w:p>
        </w:tc>
        <w:tc>
          <w:tcPr>
            <w:tcW w:w="4820" w:type="dxa"/>
          </w:tcPr>
          <w:p w:rsidR="00753AF1" w:rsidRPr="0042252B" w:rsidRDefault="0042252B" w:rsidP="009D7E8A">
            <w:pPr>
              <w:tabs>
                <w:tab w:val="left" w:pos="5"/>
              </w:tabs>
              <w:ind w:left="34"/>
              <w:jc w:val="both"/>
            </w:pPr>
            <w:r>
              <w:rPr>
                <w:b/>
              </w:rPr>
              <w:t xml:space="preserve">5. </w:t>
            </w:r>
            <w:r w:rsidR="00753AF1">
              <w:rPr>
                <w:b/>
              </w:rPr>
              <w:t xml:space="preserve">Eligibility Criteria Review Workshop: </w:t>
            </w:r>
            <w:r w:rsidRPr="0073681F">
              <w:t xml:space="preserve">CWG </w:t>
            </w:r>
            <w:r w:rsidR="00753AF1">
              <w:t xml:space="preserve">to </w:t>
            </w:r>
            <w:r w:rsidRPr="0073681F">
              <w:t xml:space="preserve">facilitate </w:t>
            </w:r>
            <w:r w:rsidR="00753AF1">
              <w:t xml:space="preserve">a </w:t>
            </w:r>
            <w:r w:rsidRPr="0073681F">
              <w:t xml:space="preserve">workshop with MoLSA to </w:t>
            </w:r>
            <w:r>
              <w:t>present the results of the desk review including</w:t>
            </w:r>
            <w:r w:rsidR="00753AF1">
              <w:t xml:space="preserve"> the </w:t>
            </w:r>
            <w:r>
              <w:t>complementarity of criteria</w:t>
            </w:r>
            <w:r w:rsidR="00753AF1">
              <w:t xml:space="preserve"> and e</w:t>
            </w:r>
            <w:r>
              <w:t>stimated MPCA caseload that may qualify for SP</w:t>
            </w:r>
            <w:r w:rsidR="00753AF1">
              <w:t xml:space="preserve">N assistance. </w:t>
            </w:r>
          </w:p>
        </w:tc>
        <w:tc>
          <w:tcPr>
            <w:tcW w:w="2410" w:type="dxa"/>
          </w:tcPr>
          <w:p w:rsidR="0042252B" w:rsidRPr="00663226" w:rsidRDefault="0042252B" w:rsidP="0042252B">
            <w:pPr>
              <w:jc w:val="both"/>
              <w:rPr>
                <w:b/>
              </w:rPr>
            </w:pPr>
            <w:r w:rsidRPr="00663226">
              <w:rPr>
                <w:b/>
              </w:rPr>
              <w:t xml:space="preserve">By </w:t>
            </w:r>
            <w:r w:rsidR="00753AF1">
              <w:rPr>
                <w:b/>
              </w:rPr>
              <w:t>15</w:t>
            </w:r>
            <w:r w:rsidRPr="00663226">
              <w:rPr>
                <w:b/>
              </w:rPr>
              <w:t xml:space="preserve"> </w:t>
            </w:r>
            <w:r w:rsidR="00753AF1">
              <w:rPr>
                <w:b/>
              </w:rPr>
              <w:t>Nov</w:t>
            </w:r>
            <w:r w:rsidRPr="00663226">
              <w:rPr>
                <w:b/>
              </w:rPr>
              <w:t xml:space="preserve"> 2018</w:t>
            </w:r>
          </w:p>
          <w:p w:rsidR="00D353D6" w:rsidRDefault="0042252B" w:rsidP="0042252B">
            <w:pPr>
              <w:jc w:val="both"/>
              <w:rPr>
                <w:i/>
              </w:rPr>
            </w:pPr>
            <w:r w:rsidRPr="00663226">
              <w:rPr>
                <w:i/>
              </w:rPr>
              <w:t>CWG partners</w:t>
            </w:r>
            <w:r w:rsidR="00D353D6">
              <w:rPr>
                <w:i/>
              </w:rPr>
              <w:t xml:space="preserve">, with </w:t>
            </w:r>
          </w:p>
          <w:p w:rsidR="00EB2885" w:rsidRPr="009D7E8A" w:rsidRDefault="00D353D6" w:rsidP="008D3F10">
            <w:pPr>
              <w:jc w:val="both"/>
              <w:rPr>
                <w:i/>
              </w:rPr>
            </w:pPr>
            <w:r>
              <w:rPr>
                <w:i/>
              </w:rPr>
              <w:t xml:space="preserve">MoLSA, </w:t>
            </w:r>
            <w:proofErr w:type="spellStart"/>
            <w:r>
              <w:rPr>
                <w:i/>
              </w:rPr>
              <w:t>MoP</w:t>
            </w:r>
            <w:proofErr w:type="spellEnd"/>
            <w:r>
              <w:rPr>
                <w:i/>
              </w:rPr>
              <w:t xml:space="preserve">, and World Bank. </w:t>
            </w:r>
            <w:r w:rsidR="0042252B" w:rsidRPr="00663226">
              <w:rPr>
                <w:i/>
              </w:rPr>
              <w:t xml:space="preserve"> </w:t>
            </w:r>
          </w:p>
        </w:tc>
      </w:tr>
      <w:tr w:rsidR="008D3F10" w:rsidTr="00463B56">
        <w:trPr>
          <w:trHeight w:val="1084"/>
        </w:trPr>
        <w:tc>
          <w:tcPr>
            <w:tcW w:w="6912" w:type="dxa"/>
            <w:vMerge/>
            <w:shd w:val="clear" w:color="auto" w:fill="E2EFD9" w:themeFill="accent6" w:themeFillTint="33"/>
          </w:tcPr>
          <w:p w:rsidR="008D3F10" w:rsidRPr="005D583E" w:rsidRDefault="008D3F10" w:rsidP="008D3F10">
            <w:pPr>
              <w:pStyle w:val="ListParagraph"/>
              <w:tabs>
                <w:tab w:val="left" w:pos="0"/>
              </w:tabs>
              <w:ind w:left="400"/>
              <w:jc w:val="both"/>
            </w:pPr>
          </w:p>
        </w:tc>
        <w:tc>
          <w:tcPr>
            <w:tcW w:w="4820" w:type="dxa"/>
          </w:tcPr>
          <w:p w:rsidR="008D3F10" w:rsidRPr="00753AF1" w:rsidRDefault="0042252B" w:rsidP="00753AF1">
            <w:pPr>
              <w:tabs>
                <w:tab w:val="left" w:pos="34"/>
              </w:tabs>
              <w:ind w:left="34" w:hanging="34"/>
              <w:jc w:val="both"/>
            </w:pPr>
            <w:r w:rsidRPr="0042252B">
              <w:rPr>
                <w:b/>
              </w:rPr>
              <w:t>6.</w:t>
            </w:r>
            <w:r>
              <w:t xml:space="preserve"> </w:t>
            </w:r>
            <w:r w:rsidR="008D3F10" w:rsidRPr="0042252B">
              <w:rPr>
                <w:b/>
              </w:rPr>
              <w:t xml:space="preserve">Joint Assessment Pilot </w:t>
            </w:r>
            <w:r w:rsidR="008D3F10" w:rsidRPr="0042252B">
              <w:rPr>
                <w:i/>
              </w:rPr>
              <w:t xml:space="preserve">(TBC </w:t>
            </w:r>
            <w:r w:rsidR="00C47EE1" w:rsidRPr="0042252B">
              <w:rPr>
                <w:i/>
              </w:rPr>
              <w:t>depending on finalisation of the new CWG assessment and scoring tool</w:t>
            </w:r>
            <w:r w:rsidR="008D3F10" w:rsidRPr="0042252B">
              <w:rPr>
                <w:i/>
              </w:rPr>
              <w:t>)</w:t>
            </w:r>
            <w:r w:rsidR="008D3F10" w:rsidRPr="0042252B">
              <w:rPr>
                <w:b/>
              </w:rPr>
              <w:t xml:space="preserve">: </w:t>
            </w:r>
            <w:r w:rsidR="008D3F10">
              <w:t xml:space="preserve">MoLSA and CWG to carryout joint assessment of </w:t>
            </w:r>
            <w:r w:rsidR="00D353D6">
              <w:t xml:space="preserve">a </w:t>
            </w:r>
            <w:r w:rsidR="008D3F10">
              <w:t xml:space="preserve">sample population. </w:t>
            </w:r>
          </w:p>
        </w:tc>
        <w:tc>
          <w:tcPr>
            <w:tcW w:w="2410" w:type="dxa"/>
          </w:tcPr>
          <w:p w:rsidR="00C47EE1" w:rsidRDefault="00C47EE1" w:rsidP="005F26DC">
            <w:pPr>
              <w:jc w:val="both"/>
              <w:rPr>
                <w:b/>
              </w:rPr>
            </w:pPr>
            <w:r>
              <w:rPr>
                <w:b/>
              </w:rPr>
              <w:t>Nov/Dec</w:t>
            </w:r>
            <w:r w:rsidR="0076029D">
              <w:rPr>
                <w:b/>
              </w:rPr>
              <w:t xml:space="preserve"> TBC</w:t>
            </w:r>
          </w:p>
          <w:p w:rsidR="00D353D6" w:rsidRPr="00663226" w:rsidRDefault="00D353D6" w:rsidP="005F26DC">
            <w:pPr>
              <w:jc w:val="both"/>
              <w:rPr>
                <w:b/>
              </w:rPr>
            </w:pPr>
            <w:r>
              <w:rPr>
                <w:i/>
              </w:rPr>
              <w:t>TVTF &amp; MoLSA</w:t>
            </w:r>
          </w:p>
        </w:tc>
      </w:tr>
      <w:tr w:rsidR="00974FCC" w:rsidTr="00463B56">
        <w:tc>
          <w:tcPr>
            <w:tcW w:w="14142" w:type="dxa"/>
            <w:gridSpan w:val="3"/>
            <w:shd w:val="clear" w:color="auto" w:fill="ED7D31" w:themeFill="accent2"/>
          </w:tcPr>
          <w:p w:rsidR="00974FCC" w:rsidRDefault="00974FCC" w:rsidP="003E13DD">
            <w:pPr>
              <w:jc w:val="both"/>
              <w:rPr>
                <w:b/>
              </w:rPr>
            </w:pPr>
            <w:r w:rsidRPr="00B04E6F">
              <w:rPr>
                <w:b/>
              </w:rPr>
              <w:t>INFORMATION MANAGEMENT</w:t>
            </w:r>
          </w:p>
          <w:p w:rsidR="004F1454" w:rsidRPr="00B04E6F" w:rsidRDefault="004F1454" w:rsidP="003E13DD">
            <w:pPr>
              <w:jc w:val="both"/>
              <w:rPr>
                <w:b/>
                <w:i/>
              </w:rPr>
            </w:pPr>
          </w:p>
        </w:tc>
      </w:tr>
      <w:tr w:rsidR="008D3F10" w:rsidTr="00463B56">
        <w:tc>
          <w:tcPr>
            <w:tcW w:w="6912" w:type="dxa"/>
            <w:vMerge w:val="restart"/>
            <w:shd w:val="clear" w:color="auto" w:fill="FBE4D5" w:themeFill="accent2" w:themeFillTint="33"/>
          </w:tcPr>
          <w:p w:rsidR="008D3F10" w:rsidRDefault="008D3F10" w:rsidP="00CC404A">
            <w:pPr>
              <w:pStyle w:val="ListParagraph"/>
              <w:numPr>
                <w:ilvl w:val="0"/>
                <w:numId w:val="11"/>
              </w:numPr>
              <w:tabs>
                <w:tab w:val="left" w:pos="287"/>
              </w:tabs>
              <w:ind w:left="117" w:firstLine="170"/>
              <w:jc w:val="both"/>
            </w:pPr>
            <w:r>
              <w:t xml:space="preserve">Improving information management systems </w:t>
            </w:r>
            <w:r w:rsidR="004C1450">
              <w:t>has the potential to</w:t>
            </w:r>
            <w:r>
              <w:t xml:space="preserve"> improve coordination to </w:t>
            </w:r>
            <w:r w:rsidR="0089488A">
              <w:t xml:space="preserve">strengthen capabilities provided collectively, including </w:t>
            </w:r>
            <w:r>
              <w:t>help</w:t>
            </w:r>
            <w:r w:rsidR="0089488A">
              <w:t>ing</w:t>
            </w:r>
            <w:r>
              <w:t xml:space="preserve"> avoid d</w:t>
            </w:r>
            <w:r w:rsidR="0089488A">
              <w:t xml:space="preserve">uplication of beneficiaries and assistance </w:t>
            </w:r>
            <w:r w:rsidR="00A526D2">
              <w:t>received</w:t>
            </w:r>
            <w:r w:rsidR="0089488A">
              <w:t>, improving</w:t>
            </w:r>
            <w:r>
              <w:t xml:space="preserve"> referral pathwa</w:t>
            </w:r>
            <w:r w:rsidR="0089488A">
              <w:t xml:space="preserve">ys between organisations, while </w:t>
            </w:r>
            <w:r>
              <w:t xml:space="preserve">reducing time and effort spent manually cross-checking data.  </w:t>
            </w:r>
            <w:r w:rsidR="00836A67">
              <w:t xml:space="preserve">A Data Sharing Governance Structure would be needed to bring different organisations together. </w:t>
            </w:r>
          </w:p>
          <w:p w:rsidR="008D3F10" w:rsidRDefault="008D3F10" w:rsidP="00CC404A">
            <w:pPr>
              <w:pStyle w:val="ListParagraph"/>
              <w:tabs>
                <w:tab w:val="left" w:pos="287"/>
              </w:tabs>
              <w:ind w:left="287"/>
              <w:jc w:val="both"/>
            </w:pPr>
          </w:p>
          <w:p w:rsidR="008D3F10" w:rsidRDefault="008D3F10" w:rsidP="00CC404A">
            <w:pPr>
              <w:pStyle w:val="ListParagraph"/>
              <w:numPr>
                <w:ilvl w:val="0"/>
                <w:numId w:val="11"/>
              </w:numPr>
              <w:tabs>
                <w:tab w:val="left" w:pos="287"/>
              </w:tabs>
              <w:ind w:left="117" w:firstLine="170"/>
              <w:jc w:val="both"/>
            </w:pPr>
            <w:r>
              <w:t xml:space="preserve">More understanding of each stakeholder’s </w:t>
            </w:r>
            <w:r w:rsidR="0089488A">
              <w:t xml:space="preserve">business processes (and associated </w:t>
            </w:r>
            <w:r>
              <w:t>databases</w:t>
            </w:r>
            <w:r w:rsidR="0089488A">
              <w:t>)</w:t>
            </w:r>
            <w:r>
              <w:t xml:space="preserve"> is required to initiate technical conversations, such as clarifying which “Unique Identifiers” (civil ID number, PDS number, name, etc.) and their format</w:t>
            </w:r>
            <w:r w:rsidR="004C1450">
              <w:t xml:space="preserve"> or syntax</w:t>
            </w:r>
            <w:r>
              <w:t xml:space="preserve"> are currently being used. Some IDPs or returnees might not have the correct documents needed to verify their identity. </w:t>
            </w:r>
          </w:p>
          <w:p w:rsidR="008D3F10" w:rsidRDefault="008D3F10" w:rsidP="00CC404A">
            <w:pPr>
              <w:pStyle w:val="ListParagraph"/>
              <w:tabs>
                <w:tab w:val="left" w:pos="287"/>
              </w:tabs>
              <w:ind w:left="287"/>
              <w:jc w:val="both"/>
            </w:pPr>
            <w:r>
              <w:t xml:space="preserve"> </w:t>
            </w:r>
          </w:p>
          <w:p w:rsidR="00890C59" w:rsidRDefault="008D3F10" w:rsidP="004C1450">
            <w:pPr>
              <w:pStyle w:val="ListParagraph"/>
              <w:numPr>
                <w:ilvl w:val="0"/>
                <w:numId w:val="11"/>
              </w:numPr>
              <w:tabs>
                <w:tab w:val="left" w:pos="287"/>
              </w:tabs>
              <w:ind w:left="117" w:firstLine="170"/>
              <w:jc w:val="both"/>
            </w:pPr>
            <w:r>
              <w:t xml:space="preserve">The importance of the protection of data of vulnerable families is </w:t>
            </w:r>
            <w:r w:rsidR="00C94F43">
              <w:t>paramount</w:t>
            </w:r>
            <w:r>
              <w:t xml:space="preserve"> </w:t>
            </w:r>
            <w:r w:rsidR="00890C59">
              <w:t xml:space="preserve">and informed </w:t>
            </w:r>
            <w:r>
              <w:t xml:space="preserve">consent of beneficiaries </w:t>
            </w:r>
            <w:r w:rsidR="00C94F43">
              <w:t xml:space="preserve">should be </w:t>
            </w:r>
            <w:r>
              <w:t xml:space="preserve">obtained </w:t>
            </w:r>
            <w:r w:rsidR="00C94F43">
              <w:t xml:space="preserve">to </w:t>
            </w:r>
            <w:r w:rsidR="00C94F43">
              <w:lastRenderedPageBreak/>
              <w:t xml:space="preserve">allow </w:t>
            </w:r>
            <w:r w:rsidR="00890C59">
              <w:t xml:space="preserve">any data sharing between organisations or </w:t>
            </w:r>
            <w:r w:rsidR="00C94F43">
              <w:t xml:space="preserve">referrals. Security, privacy and protection standards should be </w:t>
            </w:r>
            <w:r w:rsidR="00836A67">
              <w:t xml:space="preserve">embedded in Data Sharing Procedures and </w:t>
            </w:r>
            <w:r w:rsidR="00C94F43">
              <w:t>adhered to</w:t>
            </w:r>
            <w:r w:rsidR="00890C59">
              <w:t>, with only the minimum amount of data shared that is needed</w:t>
            </w:r>
            <w:r w:rsidR="00C94F43">
              <w:t xml:space="preserve">. </w:t>
            </w:r>
            <w:r w:rsidR="00890C59">
              <w:t>C</w:t>
            </w:r>
            <w:r w:rsidR="00C94F43">
              <w:t>onsent</w:t>
            </w:r>
            <w:r w:rsidR="00890C59">
              <w:t>ing</w:t>
            </w:r>
            <w:r w:rsidR="00C94F43">
              <w:t xml:space="preserve"> to share data for referrals will not impact eligibility for humanitarian assistance.</w:t>
            </w:r>
          </w:p>
          <w:p w:rsidR="00890C59" w:rsidRDefault="00890C59" w:rsidP="00CC404A">
            <w:pPr>
              <w:pStyle w:val="ListParagraph"/>
              <w:tabs>
                <w:tab w:val="left" w:pos="287"/>
              </w:tabs>
              <w:ind w:left="287"/>
              <w:jc w:val="both"/>
            </w:pPr>
          </w:p>
          <w:p w:rsidR="008D3F10" w:rsidRDefault="008D3F10" w:rsidP="000A330F">
            <w:pPr>
              <w:pStyle w:val="ListParagraph"/>
              <w:numPr>
                <w:ilvl w:val="0"/>
                <w:numId w:val="11"/>
              </w:numPr>
              <w:tabs>
                <w:tab w:val="left" w:pos="287"/>
              </w:tabs>
              <w:ind w:left="117" w:firstLine="170"/>
              <w:jc w:val="both"/>
            </w:pPr>
            <w:r>
              <w:t xml:space="preserve">Different Ministries (MoLSA, </w:t>
            </w:r>
            <w:proofErr w:type="spellStart"/>
            <w:r>
              <w:t>MoMD</w:t>
            </w:r>
            <w:proofErr w:type="spellEnd"/>
            <w:r>
              <w:t xml:space="preserve">, </w:t>
            </w:r>
            <w:proofErr w:type="spellStart"/>
            <w:r>
              <w:t>MoT</w:t>
            </w:r>
            <w:proofErr w:type="spellEnd"/>
            <w:r>
              <w:t xml:space="preserve">, and </w:t>
            </w:r>
            <w:proofErr w:type="spellStart"/>
            <w:r>
              <w:t>MoI</w:t>
            </w:r>
            <w:proofErr w:type="spellEnd"/>
            <w:r>
              <w:t xml:space="preserve">) are all currently pursing independent tracks to improve their databases and </w:t>
            </w:r>
            <w:r w:rsidR="000A330F">
              <w:t>automate</w:t>
            </w:r>
            <w:r>
              <w:t xml:space="preserve"> processes, including adding biometric identity features, with external support (respectively by WB, UNHCR, WFP, and Germany, to name a few). This work risks duplication of efforts, inefficiency, not being interoperable, nor achieving its maximum potential. </w:t>
            </w:r>
            <w:r w:rsidR="000A330F">
              <w:t>Strengthening each Ministry’s Management Information Systems (MIS) is a necessary pre-requisite for a future Unified Registry for Social Protection and should be encouraged</w:t>
            </w:r>
            <w:r w:rsidR="00320E32">
              <w:t xml:space="preserve"> and aligned with ongoing activities that also involve Ministries of Interior, Finance, Trade, and Planning</w:t>
            </w:r>
            <w:r w:rsidR="000A330F">
              <w:t>.  Internal business processes will vary from one Ministry to another and therefore the need for MIS that respond to specific Ministry needs, but designed in a way that will enable exchange of data between Ministries via conformance to pre-defined standards. The group recommends starting inter-ministerial coordination as soon as possible.</w:t>
            </w:r>
          </w:p>
          <w:p w:rsidR="000A330F" w:rsidRDefault="000A330F" w:rsidP="000A330F">
            <w:pPr>
              <w:tabs>
                <w:tab w:val="left" w:pos="287"/>
              </w:tabs>
              <w:jc w:val="both"/>
            </w:pPr>
          </w:p>
          <w:p w:rsidR="008D3F10" w:rsidRDefault="008D3F10" w:rsidP="00CC404A">
            <w:pPr>
              <w:pStyle w:val="ListParagraph"/>
              <w:numPr>
                <w:ilvl w:val="0"/>
                <w:numId w:val="11"/>
              </w:numPr>
              <w:tabs>
                <w:tab w:val="left" w:pos="287"/>
              </w:tabs>
              <w:ind w:left="117" w:firstLine="170"/>
              <w:jc w:val="both"/>
            </w:pPr>
            <w:r>
              <w:t xml:space="preserve">MoLSA is currently using manual mechanism (CDs, email, USBs) to cross-check and share data with other Ministries. Better and more secure automated data sharing services exist and humanitarians can assist in exploring appropriate options available. </w:t>
            </w:r>
          </w:p>
          <w:p w:rsidR="008D3F10" w:rsidRDefault="008D3F10" w:rsidP="00CC404A">
            <w:pPr>
              <w:tabs>
                <w:tab w:val="left" w:pos="287"/>
              </w:tabs>
              <w:jc w:val="both"/>
            </w:pPr>
          </w:p>
          <w:p w:rsidR="00EA6D87" w:rsidRDefault="00EA6D87" w:rsidP="00CC404A">
            <w:pPr>
              <w:pStyle w:val="ListParagraph"/>
              <w:numPr>
                <w:ilvl w:val="0"/>
                <w:numId w:val="11"/>
              </w:numPr>
              <w:tabs>
                <w:tab w:val="left" w:pos="287"/>
              </w:tabs>
              <w:ind w:left="117" w:firstLine="170"/>
              <w:jc w:val="both"/>
            </w:pPr>
            <w:r>
              <w:t>Actual referrals and data sharing between humanitarians and MoLSA should start only once MoLSA’s absorption capacity for new beneficiaries is increased</w:t>
            </w:r>
            <w:r w:rsidR="00377910">
              <w:t xml:space="preserve">/opened. </w:t>
            </w:r>
          </w:p>
          <w:p w:rsidR="00EA6D87" w:rsidRDefault="00EA6D87" w:rsidP="00EA6D87">
            <w:pPr>
              <w:pStyle w:val="ListParagraph"/>
            </w:pPr>
          </w:p>
          <w:p w:rsidR="008D3F10" w:rsidRDefault="008D3F10" w:rsidP="00215623">
            <w:pPr>
              <w:pStyle w:val="ListParagraph"/>
              <w:numPr>
                <w:ilvl w:val="0"/>
                <w:numId w:val="11"/>
              </w:numPr>
              <w:tabs>
                <w:tab w:val="left" w:pos="287"/>
              </w:tabs>
              <w:ind w:left="117" w:firstLine="170"/>
              <w:jc w:val="both"/>
            </w:pPr>
            <w:r>
              <w:t xml:space="preserve">Once referrals are established a feedback mechanism needs to be </w:t>
            </w:r>
            <w:r>
              <w:lastRenderedPageBreak/>
              <w:t>incorporated so humanitarian actors/MoLSA are informed which individuals/HHs were assisted and what form of support they received.</w:t>
            </w:r>
            <w:r w:rsidR="00215623">
              <w:t xml:space="preserve"> A corresponding action to develop an appropriate feedback mechanism should be developed ahead of any future referral processes. </w:t>
            </w:r>
          </w:p>
        </w:tc>
        <w:tc>
          <w:tcPr>
            <w:tcW w:w="4820" w:type="dxa"/>
          </w:tcPr>
          <w:p w:rsidR="008D3F10" w:rsidRDefault="008D3F10" w:rsidP="003E13DD">
            <w:pPr>
              <w:jc w:val="both"/>
              <w:rPr>
                <w:b/>
              </w:rPr>
            </w:pPr>
            <w:r w:rsidRPr="00DB7B2E">
              <w:rPr>
                <w:b/>
              </w:rPr>
              <w:lastRenderedPageBreak/>
              <w:t>1. Unique Identifiers:</w:t>
            </w:r>
            <w:r>
              <w:t xml:space="preserve"> Hold a half day meeting with technical</w:t>
            </w:r>
            <w:r w:rsidR="0089488A">
              <w:t xml:space="preserve"> business process experts</w:t>
            </w:r>
            <w:r>
              <w:t xml:space="preserve"> to compare each organisation’s Unique Identifiers</w:t>
            </w:r>
            <w:r w:rsidR="00136908">
              <w:t xml:space="preserve"> to enable share</w:t>
            </w:r>
            <w:r w:rsidR="00D353D6">
              <w:t>d</w:t>
            </w:r>
            <w:r w:rsidR="00136908">
              <w:t xml:space="preserve"> standards </w:t>
            </w:r>
            <w:r w:rsidR="004C1450">
              <w:t xml:space="preserve">and syntax for range of identifiers </w:t>
            </w:r>
            <w:r w:rsidR="00136908">
              <w:t>for duplication checks and future referrals</w:t>
            </w:r>
            <w:r>
              <w:t xml:space="preserve">; Outcome to provide overview of current situation and recommended options for alignment moving forward. </w:t>
            </w:r>
            <w:r>
              <w:rPr>
                <w:b/>
              </w:rPr>
              <w:t xml:space="preserve"> </w:t>
            </w:r>
          </w:p>
          <w:p w:rsidR="008D3F10" w:rsidRDefault="008D3F10" w:rsidP="003E13DD">
            <w:pPr>
              <w:tabs>
                <w:tab w:val="left" w:pos="2075"/>
              </w:tabs>
              <w:jc w:val="both"/>
            </w:pPr>
          </w:p>
          <w:p w:rsidR="008D3F10" w:rsidRDefault="008D3F10" w:rsidP="001A4151">
            <w:pPr>
              <w:tabs>
                <w:tab w:val="left" w:pos="2075"/>
              </w:tabs>
              <w:jc w:val="both"/>
            </w:pPr>
          </w:p>
          <w:p w:rsidR="008D3F10" w:rsidRDefault="008D3F10" w:rsidP="003E13DD">
            <w:pPr>
              <w:jc w:val="both"/>
            </w:pPr>
          </w:p>
        </w:tc>
        <w:tc>
          <w:tcPr>
            <w:tcW w:w="2410" w:type="dxa"/>
          </w:tcPr>
          <w:p w:rsidR="008D3F10" w:rsidRPr="0066498E" w:rsidRDefault="008D3F10" w:rsidP="003E13DD">
            <w:pPr>
              <w:jc w:val="both"/>
              <w:rPr>
                <w:b/>
              </w:rPr>
            </w:pPr>
            <w:r w:rsidRPr="0066498E">
              <w:rPr>
                <w:b/>
              </w:rPr>
              <w:t xml:space="preserve">By </w:t>
            </w:r>
            <w:r w:rsidR="00D353D6">
              <w:rPr>
                <w:b/>
              </w:rPr>
              <w:t>30</w:t>
            </w:r>
            <w:r w:rsidRPr="0066498E">
              <w:rPr>
                <w:b/>
              </w:rPr>
              <w:t xml:space="preserve"> </w:t>
            </w:r>
            <w:r w:rsidR="00D353D6">
              <w:rPr>
                <w:b/>
              </w:rPr>
              <w:t>Sept</w:t>
            </w:r>
            <w:r w:rsidRPr="0066498E">
              <w:rPr>
                <w:b/>
              </w:rPr>
              <w:t xml:space="preserve"> 2018</w:t>
            </w:r>
          </w:p>
          <w:p w:rsidR="008D3F10" w:rsidRDefault="004C1450" w:rsidP="003E13DD">
            <w:pPr>
              <w:jc w:val="both"/>
              <w:rPr>
                <w:b/>
                <w:i/>
              </w:rPr>
            </w:pPr>
            <w:r>
              <w:rPr>
                <w:i/>
              </w:rPr>
              <w:t>WFP (</w:t>
            </w:r>
            <w:r w:rsidR="008D3F10" w:rsidRPr="00104EF1">
              <w:rPr>
                <w:i/>
              </w:rPr>
              <w:t>Kennedy</w:t>
            </w:r>
            <w:r>
              <w:rPr>
                <w:i/>
              </w:rPr>
              <w:t>)</w:t>
            </w:r>
            <w:r w:rsidR="008D3F10" w:rsidRPr="00104EF1">
              <w:rPr>
                <w:i/>
              </w:rPr>
              <w:t xml:space="preserve"> to </w:t>
            </w:r>
            <w:r>
              <w:rPr>
                <w:i/>
              </w:rPr>
              <w:t>arrange,</w:t>
            </w:r>
            <w:r w:rsidR="00836A67">
              <w:rPr>
                <w:i/>
              </w:rPr>
              <w:t xml:space="preserve"> with</w:t>
            </w:r>
            <w:r w:rsidR="008D3F10" w:rsidRPr="00104EF1">
              <w:rPr>
                <w:i/>
              </w:rPr>
              <w:t xml:space="preserve"> </w:t>
            </w:r>
            <w:r>
              <w:rPr>
                <w:i/>
              </w:rPr>
              <w:t>b</w:t>
            </w:r>
            <w:r w:rsidR="0089488A">
              <w:rPr>
                <w:i/>
              </w:rPr>
              <w:t>usiness process experts (</w:t>
            </w:r>
            <w:r w:rsidR="008D3F10" w:rsidRPr="00104EF1">
              <w:rPr>
                <w:i/>
              </w:rPr>
              <w:t>IT/</w:t>
            </w:r>
            <w:r w:rsidR="00836A67">
              <w:rPr>
                <w:i/>
              </w:rPr>
              <w:t xml:space="preserve"> </w:t>
            </w:r>
            <w:r w:rsidR="008D3F10" w:rsidRPr="00104EF1">
              <w:rPr>
                <w:i/>
              </w:rPr>
              <w:t>database focal points</w:t>
            </w:r>
            <w:r w:rsidR="0089488A">
              <w:rPr>
                <w:i/>
              </w:rPr>
              <w:t xml:space="preserve">) from </w:t>
            </w:r>
            <w:r w:rsidR="008D3F10" w:rsidRPr="00104EF1">
              <w:rPr>
                <w:i/>
              </w:rPr>
              <w:t>MoLS</w:t>
            </w:r>
            <w:r w:rsidR="0089488A">
              <w:rPr>
                <w:i/>
              </w:rPr>
              <w:t>A, WFP, UNHCR, CCI &amp; other NGOs</w:t>
            </w:r>
            <w:r>
              <w:rPr>
                <w:i/>
              </w:rPr>
              <w:t xml:space="preserve"> to participate. </w:t>
            </w:r>
          </w:p>
          <w:p w:rsidR="00EB2C73" w:rsidRPr="00104EF1" w:rsidRDefault="00EB2C73" w:rsidP="003E13DD">
            <w:pPr>
              <w:jc w:val="both"/>
              <w:rPr>
                <w:b/>
                <w:i/>
              </w:rPr>
            </w:pPr>
          </w:p>
          <w:p w:rsidR="008D3F10" w:rsidRPr="00836A67" w:rsidRDefault="008D3F10" w:rsidP="00BA38A1">
            <w:pPr>
              <w:jc w:val="both"/>
              <w:rPr>
                <w:i/>
              </w:rPr>
            </w:pPr>
            <w:r>
              <w:rPr>
                <w:i/>
              </w:rPr>
              <w:t>Note</w:t>
            </w:r>
            <w:r w:rsidR="0089488A">
              <w:rPr>
                <w:i/>
              </w:rPr>
              <w:t>: consider inviting</w:t>
            </w:r>
            <w:r w:rsidRPr="00104EF1">
              <w:rPr>
                <w:i/>
              </w:rPr>
              <w:t xml:space="preserve"> PDS/</w:t>
            </w:r>
            <w:proofErr w:type="spellStart"/>
            <w:r w:rsidRPr="00104EF1">
              <w:rPr>
                <w:i/>
              </w:rPr>
              <w:t>MoT</w:t>
            </w:r>
            <w:proofErr w:type="spellEnd"/>
            <w:r w:rsidRPr="00104EF1">
              <w:rPr>
                <w:i/>
              </w:rPr>
              <w:t xml:space="preserve"> + </w:t>
            </w:r>
            <w:proofErr w:type="spellStart"/>
            <w:r w:rsidRPr="00104EF1">
              <w:rPr>
                <w:i/>
              </w:rPr>
              <w:t>MoMD</w:t>
            </w:r>
            <w:proofErr w:type="spellEnd"/>
            <w:r w:rsidRPr="00104EF1">
              <w:rPr>
                <w:i/>
              </w:rPr>
              <w:t xml:space="preserve">. </w:t>
            </w:r>
          </w:p>
        </w:tc>
      </w:tr>
      <w:tr w:rsidR="008D3F10" w:rsidTr="00463B56">
        <w:tc>
          <w:tcPr>
            <w:tcW w:w="6912" w:type="dxa"/>
            <w:vMerge/>
            <w:shd w:val="clear" w:color="auto" w:fill="FBE4D5" w:themeFill="accent2" w:themeFillTint="33"/>
          </w:tcPr>
          <w:p w:rsidR="008D3F10" w:rsidRDefault="008D3F10" w:rsidP="008D3F10">
            <w:pPr>
              <w:tabs>
                <w:tab w:val="left" w:pos="287"/>
              </w:tabs>
              <w:jc w:val="both"/>
            </w:pPr>
          </w:p>
        </w:tc>
        <w:tc>
          <w:tcPr>
            <w:tcW w:w="4820" w:type="dxa"/>
          </w:tcPr>
          <w:p w:rsidR="008D3F10" w:rsidRDefault="008D3F10" w:rsidP="00454C1B">
            <w:pPr>
              <w:jc w:val="both"/>
            </w:pPr>
            <w:r w:rsidRPr="00DB7B2E">
              <w:rPr>
                <w:b/>
              </w:rPr>
              <w:t>2</w:t>
            </w:r>
            <w:r w:rsidR="007378AE">
              <w:rPr>
                <w:b/>
              </w:rPr>
              <w:t xml:space="preserve">. Groundwork for </w:t>
            </w:r>
            <w:r w:rsidRPr="00DB7B2E">
              <w:rPr>
                <w:b/>
              </w:rPr>
              <w:t>Informed Consent:</w:t>
            </w:r>
            <w:r>
              <w:t xml:space="preserve"> </w:t>
            </w:r>
            <w:r w:rsidR="007378AE">
              <w:t>MoLSA to clarify</w:t>
            </w:r>
            <w:r>
              <w:t xml:space="preserve"> </w:t>
            </w:r>
            <w:r w:rsidR="007378AE">
              <w:t xml:space="preserve">and </w:t>
            </w:r>
            <w:r w:rsidR="00454C1B">
              <w:t xml:space="preserve">provide an </w:t>
            </w:r>
            <w:r w:rsidR="007378AE">
              <w:t>map</w:t>
            </w:r>
            <w:r w:rsidR="00454C1B">
              <w:t>ping</w:t>
            </w:r>
            <w:r w:rsidR="007378AE">
              <w:t xml:space="preserve"> </w:t>
            </w:r>
            <w:r>
              <w:t xml:space="preserve">what </w:t>
            </w:r>
            <w:r w:rsidR="007378AE">
              <w:t xml:space="preserve">beneficiary </w:t>
            </w:r>
            <w:r>
              <w:t>data collected by MoLSA is accessible (or shared directly) with which other GoI Ministries and</w:t>
            </w:r>
            <w:r w:rsidR="00136908">
              <w:t xml:space="preserve"> institutions</w:t>
            </w:r>
            <w:r w:rsidR="007378AE">
              <w:t>, as well as share social worker scripts or existing consent language used.</w:t>
            </w:r>
            <w:r>
              <w:t xml:space="preserve"> </w:t>
            </w:r>
            <w:r w:rsidR="007378AE">
              <w:t xml:space="preserve">Using results, CCI to </w:t>
            </w:r>
            <w:r w:rsidR="00454C1B">
              <w:t xml:space="preserve">lead on </w:t>
            </w:r>
            <w:r w:rsidR="007378AE">
              <w:t>draft</w:t>
            </w:r>
            <w:r w:rsidR="00454C1B">
              <w:t>ing</w:t>
            </w:r>
            <w:r w:rsidR="007378AE">
              <w:t xml:space="preserve"> appropriate </w:t>
            </w:r>
            <w:r>
              <w:t xml:space="preserve">consent </w:t>
            </w:r>
            <w:r>
              <w:lastRenderedPageBreak/>
              <w:t xml:space="preserve">language </w:t>
            </w:r>
            <w:r w:rsidR="007378AE">
              <w:t>that could be</w:t>
            </w:r>
            <w:r w:rsidR="00454C1B">
              <w:t xml:space="preserve"> used by CWG members to</w:t>
            </w:r>
            <w:r w:rsidR="007378AE">
              <w:t xml:space="preserve"> facilitate future data sharing opportunities</w:t>
            </w:r>
            <w:r w:rsidR="00454C1B">
              <w:t xml:space="preserve"> and feed into agreements, as determined below in Point 3. TVTF to ensure that the revised Vulnerability Assessment Tool (Point 4 above) includes referral triggers and informed consent statements. </w:t>
            </w:r>
          </w:p>
          <w:p w:rsidR="00836A67" w:rsidRPr="00DB7B2E" w:rsidRDefault="00836A67" w:rsidP="00454C1B">
            <w:pPr>
              <w:jc w:val="both"/>
              <w:rPr>
                <w:b/>
              </w:rPr>
            </w:pPr>
          </w:p>
        </w:tc>
        <w:tc>
          <w:tcPr>
            <w:tcW w:w="2410" w:type="dxa"/>
          </w:tcPr>
          <w:p w:rsidR="008D3F10" w:rsidRPr="0066498E" w:rsidRDefault="008D3F10" w:rsidP="00BA38A1">
            <w:pPr>
              <w:jc w:val="both"/>
              <w:rPr>
                <w:b/>
              </w:rPr>
            </w:pPr>
            <w:r w:rsidRPr="0066498E">
              <w:rPr>
                <w:b/>
              </w:rPr>
              <w:lastRenderedPageBreak/>
              <w:t xml:space="preserve">By </w:t>
            </w:r>
            <w:r w:rsidR="00454C1B">
              <w:rPr>
                <w:b/>
              </w:rPr>
              <w:t>25</w:t>
            </w:r>
            <w:r w:rsidRPr="0066498E">
              <w:rPr>
                <w:b/>
              </w:rPr>
              <w:t xml:space="preserve"> </w:t>
            </w:r>
            <w:r w:rsidR="00D353D6">
              <w:rPr>
                <w:b/>
              </w:rPr>
              <w:t>Sept</w:t>
            </w:r>
            <w:r w:rsidRPr="0066498E">
              <w:rPr>
                <w:b/>
              </w:rPr>
              <w:t xml:space="preserve"> 2018</w:t>
            </w:r>
          </w:p>
          <w:p w:rsidR="00454C1B" w:rsidRDefault="007378AE" w:rsidP="00BA38A1">
            <w:pPr>
              <w:jc w:val="both"/>
              <w:rPr>
                <w:i/>
              </w:rPr>
            </w:pPr>
            <w:r>
              <w:rPr>
                <w:i/>
              </w:rPr>
              <w:t xml:space="preserve">MoLSA </w:t>
            </w:r>
            <w:r w:rsidR="008D3F10" w:rsidRPr="00104EF1">
              <w:rPr>
                <w:i/>
              </w:rPr>
              <w:t xml:space="preserve"> </w:t>
            </w:r>
            <w:r w:rsidR="00454C1B">
              <w:rPr>
                <w:i/>
              </w:rPr>
              <w:t>(Mr. Jamal) – mapping</w:t>
            </w:r>
          </w:p>
          <w:p w:rsidR="00454C1B" w:rsidRDefault="00454C1B" w:rsidP="00BA38A1">
            <w:pPr>
              <w:jc w:val="both"/>
              <w:rPr>
                <w:i/>
              </w:rPr>
            </w:pPr>
          </w:p>
          <w:p w:rsidR="007378AE" w:rsidRDefault="00454C1B" w:rsidP="00BA38A1">
            <w:pPr>
              <w:jc w:val="both"/>
              <w:rPr>
                <w:i/>
              </w:rPr>
            </w:pPr>
            <w:r w:rsidRPr="0066498E">
              <w:rPr>
                <w:b/>
              </w:rPr>
              <w:t xml:space="preserve">By </w:t>
            </w:r>
            <w:r>
              <w:rPr>
                <w:b/>
              </w:rPr>
              <w:t>10</w:t>
            </w:r>
            <w:r w:rsidRPr="0066498E">
              <w:rPr>
                <w:b/>
              </w:rPr>
              <w:t xml:space="preserve"> </w:t>
            </w:r>
            <w:r>
              <w:rPr>
                <w:b/>
              </w:rPr>
              <w:t>Oct</w:t>
            </w:r>
            <w:r w:rsidRPr="0066498E">
              <w:rPr>
                <w:b/>
              </w:rPr>
              <w:t xml:space="preserve"> 2018</w:t>
            </w:r>
          </w:p>
          <w:p w:rsidR="00454C1B" w:rsidRDefault="007378AE" w:rsidP="00BA38A1">
            <w:pPr>
              <w:jc w:val="both"/>
              <w:rPr>
                <w:i/>
              </w:rPr>
            </w:pPr>
            <w:r>
              <w:rPr>
                <w:i/>
              </w:rPr>
              <w:t>CCI</w:t>
            </w:r>
            <w:r w:rsidR="00454C1B">
              <w:rPr>
                <w:i/>
              </w:rPr>
              <w:t xml:space="preserve"> – lead on consent statement drafting</w:t>
            </w:r>
          </w:p>
          <w:p w:rsidR="00454C1B" w:rsidRDefault="00454C1B" w:rsidP="00BA38A1">
            <w:pPr>
              <w:jc w:val="both"/>
              <w:rPr>
                <w:i/>
              </w:rPr>
            </w:pPr>
          </w:p>
          <w:p w:rsidR="00454C1B" w:rsidRDefault="00454C1B" w:rsidP="00454C1B">
            <w:pPr>
              <w:jc w:val="both"/>
              <w:rPr>
                <w:i/>
              </w:rPr>
            </w:pPr>
            <w:r w:rsidRPr="0066498E">
              <w:rPr>
                <w:b/>
              </w:rPr>
              <w:t xml:space="preserve">By </w:t>
            </w:r>
            <w:r>
              <w:rPr>
                <w:b/>
              </w:rPr>
              <w:t>15</w:t>
            </w:r>
            <w:r w:rsidRPr="0066498E">
              <w:rPr>
                <w:b/>
              </w:rPr>
              <w:t xml:space="preserve"> </w:t>
            </w:r>
            <w:r>
              <w:rPr>
                <w:b/>
              </w:rPr>
              <w:t>Oct</w:t>
            </w:r>
            <w:r w:rsidRPr="0066498E">
              <w:rPr>
                <w:b/>
              </w:rPr>
              <w:t xml:space="preserve"> 2018</w:t>
            </w:r>
          </w:p>
          <w:p w:rsidR="00454C1B" w:rsidRPr="00D353D6" w:rsidRDefault="00454C1B" w:rsidP="00454C1B">
            <w:pPr>
              <w:jc w:val="both"/>
            </w:pPr>
            <w:r>
              <w:rPr>
                <w:i/>
              </w:rPr>
              <w:t xml:space="preserve">TVTF </w:t>
            </w:r>
            <w:r w:rsidR="00836A67">
              <w:rPr>
                <w:i/>
              </w:rPr>
              <w:t xml:space="preserve">– adjust tool </w:t>
            </w:r>
          </w:p>
          <w:p w:rsidR="008D3F10" w:rsidRPr="00D353D6" w:rsidRDefault="00454C1B" w:rsidP="00BA38A1">
            <w:pPr>
              <w:jc w:val="both"/>
            </w:pPr>
            <w:r>
              <w:rPr>
                <w:i/>
              </w:rPr>
              <w:t xml:space="preserve"> </w:t>
            </w:r>
          </w:p>
          <w:p w:rsidR="00E94FC8" w:rsidRDefault="00E94FC8" w:rsidP="00BA38A1">
            <w:pPr>
              <w:jc w:val="both"/>
            </w:pPr>
          </w:p>
          <w:p w:rsidR="008D3F10" w:rsidRPr="0066498E" w:rsidRDefault="008D3F10" w:rsidP="00836A67">
            <w:pPr>
              <w:jc w:val="both"/>
              <w:rPr>
                <w:b/>
              </w:rPr>
            </w:pPr>
          </w:p>
        </w:tc>
      </w:tr>
      <w:tr w:rsidR="008D3F10" w:rsidTr="00463B56">
        <w:tc>
          <w:tcPr>
            <w:tcW w:w="6912" w:type="dxa"/>
            <w:vMerge/>
            <w:shd w:val="clear" w:color="auto" w:fill="FBE4D5" w:themeFill="accent2" w:themeFillTint="33"/>
          </w:tcPr>
          <w:p w:rsidR="008D3F10" w:rsidRDefault="008D3F10" w:rsidP="008D3F10">
            <w:pPr>
              <w:tabs>
                <w:tab w:val="left" w:pos="287"/>
              </w:tabs>
              <w:jc w:val="both"/>
            </w:pPr>
          </w:p>
        </w:tc>
        <w:tc>
          <w:tcPr>
            <w:tcW w:w="4820" w:type="dxa"/>
          </w:tcPr>
          <w:p w:rsidR="00503667" w:rsidRDefault="008D3F10" w:rsidP="00BA38A1">
            <w:pPr>
              <w:jc w:val="both"/>
            </w:pPr>
            <w:r w:rsidRPr="00DB7B2E">
              <w:rPr>
                <w:b/>
              </w:rPr>
              <w:t>3.</w:t>
            </w:r>
            <w:r>
              <w:rPr>
                <w:b/>
              </w:rPr>
              <w:t xml:space="preserve"> </w:t>
            </w:r>
            <w:r>
              <w:t xml:space="preserve"> </w:t>
            </w:r>
            <w:r w:rsidRPr="00DB7B2E">
              <w:rPr>
                <w:b/>
              </w:rPr>
              <w:t xml:space="preserve">Data Sharing </w:t>
            </w:r>
            <w:r w:rsidR="00136908">
              <w:rPr>
                <w:b/>
              </w:rPr>
              <w:t xml:space="preserve">Governance </w:t>
            </w:r>
            <w:r w:rsidR="00836A67">
              <w:rPr>
                <w:b/>
              </w:rPr>
              <w:t>S</w:t>
            </w:r>
            <w:r w:rsidR="00136908">
              <w:rPr>
                <w:b/>
              </w:rPr>
              <w:t xml:space="preserve">tructure and </w:t>
            </w:r>
            <w:r w:rsidRPr="00DB7B2E">
              <w:rPr>
                <w:b/>
              </w:rPr>
              <w:t>Procedures:</w:t>
            </w:r>
            <w:r>
              <w:t xml:space="preserve"> </w:t>
            </w:r>
            <w:r w:rsidR="00836A67">
              <w:t>WFP and World Bank to i</w:t>
            </w:r>
            <w:r>
              <w:t xml:space="preserve">nitiate conversations with MoLSA on </w:t>
            </w:r>
            <w:r w:rsidR="00836A67">
              <w:t xml:space="preserve">establishing a technical working group on </w:t>
            </w:r>
            <w:r>
              <w:t>data sharing with UN/NGOs across policy and technical levels</w:t>
            </w:r>
            <w:r w:rsidR="00836A67">
              <w:t xml:space="preserve">. </w:t>
            </w:r>
            <w:r w:rsidRPr="00503667">
              <w:rPr>
                <w:u w:val="single"/>
              </w:rPr>
              <w:t xml:space="preserve">Outcome </w:t>
            </w:r>
            <w:r w:rsidR="00836A67" w:rsidRPr="00503667">
              <w:rPr>
                <w:u w:val="single"/>
              </w:rPr>
              <w:t>1:</w:t>
            </w:r>
            <w:r w:rsidR="00836A67">
              <w:t xml:space="preserve"> WFP</w:t>
            </w:r>
            <w:r>
              <w:t xml:space="preserve"> </w:t>
            </w:r>
            <w:r w:rsidR="00836A67">
              <w:t xml:space="preserve">to lead development of working group TORs and scope of initial work with group membership; </w:t>
            </w:r>
          </w:p>
          <w:p w:rsidR="00503667" w:rsidRDefault="00836A67" w:rsidP="00BA38A1">
            <w:pPr>
              <w:jc w:val="both"/>
            </w:pPr>
            <w:r w:rsidRPr="00503667">
              <w:rPr>
                <w:u w:val="single"/>
              </w:rPr>
              <w:t>Outcome 2</w:t>
            </w:r>
            <w:r w:rsidR="00503667" w:rsidRPr="00503667">
              <w:rPr>
                <w:u w:val="single"/>
              </w:rPr>
              <w:t>:</w:t>
            </w:r>
            <w:r>
              <w:t xml:space="preserve"> </w:t>
            </w:r>
            <w:r w:rsidR="00503667">
              <w:t xml:space="preserve">Working group </w:t>
            </w:r>
            <w:r w:rsidR="008D3F10">
              <w:t>to develop</w:t>
            </w:r>
            <w:r w:rsidR="00136908">
              <w:t xml:space="preserve"> a shared understanding of requirements for </w:t>
            </w:r>
            <w:r>
              <w:t>D</w:t>
            </w:r>
            <w:r w:rsidR="00136908">
              <w:t xml:space="preserve">ata </w:t>
            </w:r>
            <w:r>
              <w:t>S</w:t>
            </w:r>
            <w:r w:rsidR="00136908">
              <w:t xml:space="preserve">haring </w:t>
            </w:r>
            <w:r>
              <w:t>G</w:t>
            </w:r>
            <w:r w:rsidR="00136908">
              <w:t xml:space="preserve">overnance </w:t>
            </w:r>
            <w:r>
              <w:t>S</w:t>
            </w:r>
            <w:r w:rsidR="00136908">
              <w:t>tructure</w:t>
            </w:r>
            <w:r w:rsidR="00503667">
              <w:t>;</w:t>
            </w:r>
            <w:r w:rsidR="00136908">
              <w:t xml:space="preserve"> </w:t>
            </w:r>
          </w:p>
          <w:p w:rsidR="008D3F10" w:rsidRDefault="00503667" w:rsidP="00BA38A1">
            <w:pPr>
              <w:jc w:val="both"/>
            </w:pPr>
            <w:r w:rsidRPr="00503667">
              <w:rPr>
                <w:u w:val="single"/>
              </w:rPr>
              <w:t xml:space="preserve">Outcome </w:t>
            </w:r>
            <w:r>
              <w:rPr>
                <w:u w:val="single"/>
              </w:rPr>
              <w:t>3:</w:t>
            </w:r>
            <w:r w:rsidR="008B0814">
              <w:t xml:space="preserve"> </w:t>
            </w:r>
            <w:r>
              <w:t>Working Group to d</w:t>
            </w:r>
            <w:r w:rsidR="008B0814">
              <w:t xml:space="preserve">evelop a </w:t>
            </w:r>
            <w:r>
              <w:t>D</w:t>
            </w:r>
            <w:r w:rsidR="008B0814">
              <w:t xml:space="preserve">ata </w:t>
            </w:r>
            <w:r>
              <w:t>S</w:t>
            </w:r>
            <w:r w:rsidR="008B0814">
              <w:t xml:space="preserve">haring </w:t>
            </w:r>
            <w:r>
              <w:t>A</w:t>
            </w:r>
            <w:r w:rsidR="008B0814">
              <w:t xml:space="preserve">greement </w:t>
            </w:r>
            <w:r>
              <w:t xml:space="preserve">framework </w:t>
            </w:r>
            <w:r w:rsidR="008B0814">
              <w:t xml:space="preserve">for interested stakeholders. </w:t>
            </w:r>
          </w:p>
          <w:p w:rsidR="008D3F10" w:rsidRPr="00DB7B2E" w:rsidRDefault="008D3F10" w:rsidP="003E13DD">
            <w:pPr>
              <w:jc w:val="both"/>
              <w:rPr>
                <w:b/>
              </w:rPr>
            </w:pPr>
          </w:p>
        </w:tc>
        <w:tc>
          <w:tcPr>
            <w:tcW w:w="2410" w:type="dxa"/>
          </w:tcPr>
          <w:p w:rsidR="008D3F10" w:rsidRPr="0066498E" w:rsidRDefault="008D3F10" w:rsidP="00BA38A1">
            <w:pPr>
              <w:jc w:val="both"/>
              <w:rPr>
                <w:b/>
              </w:rPr>
            </w:pPr>
            <w:r w:rsidRPr="0066498E">
              <w:rPr>
                <w:b/>
              </w:rPr>
              <w:t xml:space="preserve">By 31 </w:t>
            </w:r>
            <w:r w:rsidR="00D353D6">
              <w:rPr>
                <w:b/>
              </w:rPr>
              <w:t>Oct</w:t>
            </w:r>
            <w:r w:rsidRPr="0066498E">
              <w:rPr>
                <w:b/>
              </w:rPr>
              <w:t xml:space="preserve"> 2018</w:t>
            </w:r>
          </w:p>
          <w:p w:rsidR="008D3F10" w:rsidRDefault="00503667" w:rsidP="00BA38A1">
            <w:pPr>
              <w:jc w:val="both"/>
              <w:rPr>
                <w:i/>
              </w:rPr>
            </w:pPr>
            <w:r>
              <w:rPr>
                <w:i/>
              </w:rPr>
              <w:t>WFP (</w:t>
            </w:r>
            <w:r w:rsidR="008D3F10" w:rsidRPr="00104EF1">
              <w:rPr>
                <w:i/>
              </w:rPr>
              <w:t>Kennedy</w:t>
            </w:r>
            <w:r>
              <w:rPr>
                <w:i/>
              </w:rPr>
              <w:t>)</w:t>
            </w:r>
            <w:r w:rsidR="008D3F10" w:rsidRPr="00104EF1">
              <w:rPr>
                <w:i/>
              </w:rPr>
              <w:t xml:space="preserve"> to lead establishing Working Group with open </w:t>
            </w:r>
            <w:r>
              <w:rPr>
                <w:i/>
              </w:rPr>
              <w:t xml:space="preserve">invite to CWG and </w:t>
            </w:r>
            <w:r w:rsidR="008D3F10" w:rsidRPr="00104EF1">
              <w:rPr>
                <w:i/>
              </w:rPr>
              <w:t xml:space="preserve">MoLSA. </w:t>
            </w:r>
          </w:p>
          <w:p w:rsidR="00503667" w:rsidRDefault="00503667" w:rsidP="00BA38A1">
            <w:pPr>
              <w:jc w:val="both"/>
              <w:rPr>
                <w:i/>
              </w:rPr>
            </w:pPr>
          </w:p>
          <w:p w:rsidR="00503667" w:rsidRPr="00503667" w:rsidRDefault="00503667" w:rsidP="00BA38A1">
            <w:pPr>
              <w:jc w:val="both"/>
              <w:rPr>
                <w:i/>
              </w:rPr>
            </w:pPr>
            <w:r>
              <w:rPr>
                <w:i/>
              </w:rPr>
              <w:t xml:space="preserve">Note: Deadlines for Outcomes to be determined by the Working Group once established. </w:t>
            </w:r>
          </w:p>
          <w:p w:rsidR="008D3F10" w:rsidRPr="0066498E" w:rsidRDefault="008D3F10" w:rsidP="003E13DD">
            <w:pPr>
              <w:jc w:val="both"/>
              <w:rPr>
                <w:b/>
              </w:rPr>
            </w:pPr>
          </w:p>
        </w:tc>
      </w:tr>
      <w:tr w:rsidR="008D3F10" w:rsidTr="00463B56">
        <w:tc>
          <w:tcPr>
            <w:tcW w:w="6912" w:type="dxa"/>
            <w:vMerge/>
            <w:shd w:val="clear" w:color="auto" w:fill="FBE4D5" w:themeFill="accent2" w:themeFillTint="33"/>
          </w:tcPr>
          <w:p w:rsidR="008D3F10" w:rsidRDefault="008D3F10" w:rsidP="008D3F10">
            <w:pPr>
              <w:tabs>
                <w:tab w:val="left" w:pos="287"/>
              </w:tabs>
              <w:jc w:val="both"/>
            </w:pPr>
          </w:p>
        </w:tc>
        <w:tc>
          <w:tcPr>
            <w:tcW w:w="4820" w:type="dxa"/>
          </w:tcPr>
          <w:p w:rsidR="008D3F10" w:rsidRDefault="008D3F10" w:rsidP="00BA38A1">
            <w:pPr>
              <w:jc w:val="both"/>
            </w:pPr>
            <w:r w:rsidRPr="00DB7B2E">
              <w:rPr>
                <w:b/>
              </w:rPr>
              <w:t>4. Inter-Ministerial IM Coordination:</w:t>
            </w:r>
            <w:r>
              <w:t xml:space="preserve"> Investigate details with possible actions and prepare a letter to the Poverty Reduction High Committee advocating to open dialogue on critical data sharing topics </w:t>
            </w:r>
            <w:r w:rsidR="000A330F">
              <w:t>across relevant line ministries; Request the Council of Ministers to clarify the governance model for the coordination of efforts by assigning a lead Ministry.</w:t>
            </w:r>
          </w:p>
          <w:p w:rsidR="008D3F10" w:rsidRPr="00DB7B2E" w:rsidRDefault="008D3F10" w:rsidP="000A330F">
            <w:pPr>
              <w:jc w:val="both"/>
              <w:rPr>
                <w:b/>
              </w:rPr>
            </w:pPr>
          </w:p>
        </w:tc>
        <w:tc>
          <w:tcPr>
            <w:tcW w:w="2410" w:type="dxa"/>
          </w:tcPr>
          <w:p w:rsidR="008D3F10" w:rsidRPr="0066498E" w:rsidRDefault="008D3F10" w:rsidP="00BA38A1">
            <w:pPr>
              <w:jc w:val="both"/>
              <w:rPr>
                <w:b/>
              </w:rPr>
            </w:pPr>
            <w:r w:rsidRPr="0066498E">
              <w:rPr>
                <w:b/>
              </w:rPr>
              <w:t xml:space="preserve">By </w:t>
            </w:r>
            <w:r w:rsidR="00D353D6">
              <w:rPr>
                <w:b/>
              </w:rPr>
              <w:t>3</w:t>
            </w:r>
            <w:r w:rsidR="00503667">
              <w:rPr>
                <w:b/>
              </w:rPr>
              <w:t>0</w:t>
            </w:r>
            <w:r w:rsidRPr="0066498E">
              <w:rPr>
                <w:b/>
              </w:rPr>
              <w:t xml:space="preserve"> </w:t>
            </w:r>
            <w:r w:rsidR="00503667">
              <w:rPr>
                <w:b/>
              </w:rPr>
              <w:t>Nov</w:t>
            </w:r>
            <w:r w:rsidRPr="0066498E">
              <w:rPr>
                <w:b/>
              </w:rPr>
              <w:t xml:space="preserve"> 2018</w:t>
            </w:r>
          </w:p>
          <w:p w:rsidR="008D3F10" w:rsidRPr="00104EF1" w:rsidRDefault="00EA6D87" w:rsidP="00BA38A1">
            <w:pPr>
              <w:jc w:val="both"/>
              <w:rPr>
                <w:b/>
                <w:i/>
              </w:rPr>
            </w:pPr>
            <w:r>
              <w:rPr>
                <w:i/>
              </w:rPr>
              <w:t>World Bank (</w:t>
            </w:r>
            <w:r w:rsidR="008D3F10" w:rsidRPr="00104EF1">
              <w:rPr>
                <w:i/>
              </w:rPr>
              <w:t>Ramzi</w:t>
            </w:r>
            <w:r>
              <w:rPr>
                <w:i/>
              </w:rPr>
              <w:t>)</w:t>
            </w:r>
            <w:r w:rsidR="008D3F10" w:rsidRPr="00104EF1">
              <w:rPr>
                <w:i/>
              </w:rPr>
              <w:t xml:space="preserve"> with MoLSA to lead on </w:t>
            </w:r>
            <w:r w:rsidR="00503667">
              <w:rPr>
                <w:i/>
              </w:rPr>
              <w:t xml:space="preserve">drafting and </w:t>
            </w:r>
            <w:r w:rsidR="008D3F10" w:rsidRPr="00104EF1">
              <w:rPr>
                <w:i/>
              </w:rPr>
              <w:t xml:space="preserve">submission. </w:t>
            </w:r>
            <w:r w:rsidR="00503667">
              <w:rPr>
                <w:i/>
              </w:rPr>
              <w:t xml:space="preserve">DFID (Heidi), UNHCR (Annika), and WFP (Kennedy) to support information collection.  </w:t>
            </w:r>
          </w:p>
          <w:p w:rsidR="008D3F10" w:rsidRPr="0066498E" w:rsidRDefault="008D3F10" w:rsidP="003E13DD">
            <w:pPr>
              <w:jc w:val="both"/>
              <w:rPr>
                <w:b/>
              </w:rPr>
            </w:pPr>
          </w:p>
        </w:tc>
      </w:tr>
      <w:tr w:rsidR="008D3F10" w:rsidTr="00463B56">
        <w:tc>
          <w:tcPr>
            <w:tcW w:w="6912" w:type="dxa"/>
            <w:vMerge/>
            <w:shd w:val="clear" w:color="auto" w:fill="FBE4D5" w:themeFill="accent2" w:themeFillTint="33"/>
          </w:tcPr>
          <w:p w:rsidR="008D3F10" w:rsidRDefault="008D3F10" w:rsidP="008D3F10">
            <w:pPr>
              <w:tabs>
                <w:tab w:val="left" w:pos="287"/>
              </w:tabs>
              <w:jc w:val="both"/>
            </w:pPr>
          </w:p>
        </w:tc>
        <w:tc>
          <w:tcPr>
            <w:tcW w:w="4820" w:type="dxa"/>
          </w:tcPr>
          <w:p w:rsidR="008D3F10" w:rsidRDefault="008D3F10" w:rsidP="00BA38A1">
            <w:pPr>
              <w:jc w:val="both"/>
            </w:pPr>
            <w:r w:rsidRPr="006B0E94">
              <w:rPr>
                <w:b/>
              </w:rPr>
              <w:t>5.</w:t>
            </w:r>
            <w:r>
              <w:t xml:space="preserve"> </w:t>
            </w:r>
            <w:r w:rsidRPr="00DB7B2E">
              <w:rPr>
                <w:b/>
              </w:rPr>
              <w:t>Automated Data Sharing Service:</w:t>
            </w:r>
            <w:r w:rsidRPr="00DB7B2E">
              <w:t xml:space="preserve"> </w:t>
            </w:r>
            <w:r w:rsidR="0076029D">
              <w:t>Through a series of engagements with CWG and GoI partners and lessons learned, and ongoing PDS proof of concept processes, d</w:t>
            </w:r>
            <w:r>
              <w:t>efine requirements for a possible automated data sharing service</w:t>
            </w:r>
            <w:r w:rsidR="00503667">
              <w:t>. I</w:t>
            </w:r>
            <w:r>
              <w:t xml:space="preserve">f positive, </w:t>
            </w:r>
            <w:r w:rsidR="00503667">
              <w:t xml:space="preserve">identify an entity to </w:t>
            </w:r>
            <w:r>
              <w:t>build the service and run a proof of concept pilot.</w:t>
            </w:r>
          </w:p>
          <w:p w:rsidR="008D3F10" w:rsidRPr="00DB7B2E" w:rsidRDefault="008D3F10" w:rsidP="00503667">
            <w:pPr>
              <w:jc w:val="both"/>
              <w:rPr>
                <w:b/>
              </w:rPr>
            </w:pPr>
          </w:p>
        </w:tc>
        <w:tc>
          <w:tcPr>
            <w:tcW w:w="2410" w:type="dxa"/>
          </w:tcPr>
          <w:p w:rsidR="008D3F10" w:rsidRDefault="008D3F10" w:rsidP="00BA38A1">
            <w:pPr>
              <w:jc w:val="both"/>
              <w:rPr>
                <w:i/>
              </w:rPr>
            </w:pPr>
            <w:r w:rsidRPr="0066498E">
              <w:rPr>
                <w:b/>
              </w:rPr>
              <w:t xml:space="preserve">By </w:t>
            </w:r>
            <w:r w:rsidR="0076029D">
              <w:rPr>
                <w:b/>
              </w:rPr>
              <w:t>31</w:t>
            </w:r>
            <w:r w:rsidRPr="0066498E">
              <w:rPr>
                <w:b/>
              </w:rPr>
              <w:t xml:space="preserve"> </w:t>
            </w:r>
            <w:r w:rsidR="0076029D">
              <w:rPr>
                <w:b/>
              </w:rPr>
              <w:t>Jan 2019</w:t>
            </w:r>
            <w:r w:rsidRPr="00104EF1">
              <w:rPr>
                <w:i/>
              </w:rPr>
              <w:t xml:space="preserve"> </w:t>
            </w:r>
          </w:p>
          <w:p w:rsidR="008D3F10" w:rsidRPr="00104EF1" w:rsidRDefault="008D3F10" w:rsidP="00BA38A1">
            <w:pPr>
              <w:jc w:val="both"/>
              <w:rPr>
                <w:i/>
              </w:rPr>
            </w:pPr>
            <w:r w:rsidRPr="00104EF1">
              <w:rPr>
                <w:i/>
              </w:rPr>
              <w:t>WFP</w:t>
            </w:r>
            <w:r w:rsidR="0076029D">
              <w:rPr>
                <w:i/>
              </w:rPr>
              <w:t xml:space="preserve"> (Kennedy) to coordinate with CWG</w:t>
            </w:r>
            <w:r w:rsidRPr="00104EF1">
              <w:rPr>
                <w:i/>
              </w:rPr>
              <w:t>.</w:t>
            </w:r>
          </w:p>
          <w:p w:rsidR="008D3F10" w:rsidRPr="0066498E" w:rsidRDefault="008D3F10" w:rsidP="00BA38A1">
            <w:pPr>
              <w:jc w:val="both"/>
              <w:rPr>
                <w:b/>
              </w:rPr>
            </w:pPr>
          </w:p>
          <w:p w:rsidR="008D3F10" w:rsidRPr="0066498E" w:rsidRDefault="008D3F10" w:rsidP="003E13DD">
            <w:pPr>
              <w:jc w:val="both"/>
              <w:rPr>
                <w:b/>
              </w:rPr>
            </w:pPr>
          </w:p>
        </w:tc>
      </w:tr>
      <w:tr w:rsidR="00974FCC" w:rsidTr="00463B56">
        <w:trPr>
          <w:trHeight w:val="383"/>
        </w:trPr>
        <w:tc>
          <w:tcPr>
            <w:tcW w:w="14142" w:type="dxa"/>
            <w:gridSpan w:val="3"/>
            <w:shd w:val="clear" w:color="auto" w:fill="8EAADB" w:themeFill="accent5" w:themeFillTint="99"/>
          </w:tcPr>
          <w:p w:rsidR="00974FCC" w:rsidRDefault="00974FCC" w:rsidP="008557DD">
            <w:pPr>
              <w:jc w:val="both"/>
              <w:rPr>
                <w:b/>
              </w:rPr>
            </w:pPr>
            <w:r w:rsidRPr="00B04E6F">
              <w:rPr>
                <w:b/>
              </w:rPr>
              <w:t>REFERRALS</w:t>
            </w:r>
          </w:p>
          <w:p w:rsidR="004F1454" w:rsidRPr="00B04E6F" w:rsidRDefault="004F1454" w:rsidP="008557DD">
            <w:pPr>
              <w:jc w:val="both"/>
              <w:rPr>
                <w:b/>
              </w:rPr>
            </w:pPr>
          </w:p>
        </w:tc>
      </w:tr>
      <w:tr w:rsidR="004359AA" w:rsidTr="00DD2DC0">
        <w:trPr>
          <w:trHeight w:val="629"/>
        </w:trPr>
        <w:tc>
          <w:tcPr>
            <w:tcW w:w="6912" w:type="dxa"/>
            <w:vMerge w:val="restart"/>
            <w:shd w:val="clear" w:color="auto" w:fill="DEEAF6" w:themeFill="accent1" w:themeFillTint="33"/>
          </w:tcPr>
          <w:p w:rsidR="004359AA" w:rsidRDefault="004359AA" w:rsidP="00EB2C73">
            <w:pPr>
              <w:pStyle w:val="ListParagraph"/>
              <w:numPr>
                <w:ilvl w:val="0"/>
                <w:numId w:val="17"/>
              </w:numPr>
              <w:tabs>
                <w:tab w:val="left" w:pos="287"/>
              </w:tabs>
              <w:spacing w:line="252" w:lineRule="auto"/>
              <w:ind w:left="117" w:firstLine="247"/>
              <w:jc w:val="both"/>
            </w:pPr>
            <w:r>
              <w:t xml:space="preserve">As noted above, humanitarians and MoLSA have a number of ongoing programmes, in addition to MPCA and SPN, that could provide additional needed assistance to households, including particularly vulnerable ones with specific gender, age, or disability related </w:t>
            </w:r>
            <w:proofErr w:type="spellStart"/>
            <w:r>
              <w:t>concens</w:t>
            </w:r>
            <w:proofErr w:type="spellEnd"/>
            <w:r>
              <w:t xml:space="preserve">. The ERRSP, SFD, and RRP are such examples of flagship poverty and recovery programmes which are under development. More information and exchange is required about these programmes and partners to understand availability and eligibility criteria for different services and their locations. </w:t>
            </w:r>
          </w:p>
          <w:p w:rsidR="004359AA" w:rsidRDefault="004359AA" w:rsidP="00EB2C73">
            <w:pPr>
              <w:pStyle w:val="ListParagraph"/>
              <w:tabs>
                <w:tab w:val="left" w:pos="287"/>
              </w:tabs>
              <w:spacing w:line="252" w:lineRule="auto"/>
              <w:ind w:left="364"/>
              <w:jc w:val="both"/>
            </w:pPr>
          </w:p>
          <w:p w:rsidR="004359AA" w:rsidRDefault="004359AA" w:rsidP="00EB2C73">
            <w:pPr>
              <w:pStyle w:val="ListParagraph"/>
              <w:numPr>
                <w:ilvl w:val="0"/>
                <w:numId w:val="17"/>
              </w:numPr>
              <w:tabs>
                <w:tab w:val="left" w:pos="287"/>
              </w:tabs>
              <w:spacing w:line="252" w:lineRule="auto"/>
              <w:ind w:left="117" w:firstLine="247"/>
              <w:jc w:val="both"/>
            </w:pPr>
            <w:r>
              <w:t xml:space="preserve">Referral of individuals and households to services has the potential to work in both directions (MoLSA to humanitarian and humanitarian to MoLSA). In emergency cases specifically, there may be the potential for MoLSA to refer cases to humanitarian actors for assessment, in addition to humanitarian community’s existing caseload, whilst government response capacity improves in challenging areas. In both directions, ensuring the protection of data and consent of </w:t>
            </w:r>
            <w:r>
              <w:lastRenderedPageBreak/>
              <w:t xml:space="preserve">beneficiaries for referral is essential (explored further in IM section). </w:t>
            </w:r>
          </w:p>
          <w:p w:rsidR="004359AA" w:rsidRDefault="004359AA" w:rsidP="00CF2603">
            <w:pPr>
              <w:pStyle w:val="ListParagraph"/>
            </w:pPr>
          </w:p>
          <w:p w:rsidR="004359AA" w:rsidRDefault="004359AA" w:rsidP="00CF2603">
            <w:pPr>
              <w:pStyle w:val="ListParagraph"/>
              <w:numPr>
                <w:ilvl w:val="0"/>
                <w:numId w:val="17"/>
              </w:numPr>
              <w:tabs>
                <w:tab w:val="left" w:pos="287"/>
              </w:tabs>
              <w:spacing w:line="252" w:lineRule="auto"/>
              <w:ind w:left="117" w:firstLine="247"/>
              <w:jc w:val="both"/>
            </w:pPr>
            <w:r>
              <w:t>Different service and beneficiary lists already exist, including the SPN, unemployment, and upcoming cash for work (MoLSA), PDS (</w:t>
            </w:r>
            <w:proofErr w:type="spellStart"/>
            <w:r>
              <w:t>MoT</w:t>
            </w:r>
            <w:proofErr w:type="spellEnd"/>
            <w:r>
              <w:t>), and IDPs (</w:t>
            </w:r>
            <w:proofErr w:type="spellStart"/>
            <w:r>
              <w:t>MoMD</w:t>
            </w:r>
            <w:proofErr w:type="spellEnd"/>
            <w:r>
              <w:t>).</w:t>
            </w:r>
          </w:p>
          <w:p w:rsidR="004359AA" w:rsidRDefault="004359AA" w:rsidP="00CF2603">
            <w:pPr>
              <w:pStyle w:val="ListParagraph"/>
            </w:pPr>
          </w:p>
          <w:p w:rsidR="004359AA" w:rsidRDefault="004359AA" w:rsidP="00CF2603">
            <w:pPr>
              <w:pStyle w:val="ListParagraph"/>
              <w:numPr>
                <w:ilvl w:val="0"/>
                <w:numId w:val="17"/>
              </w:numPr>
              <w:tabs>
                <w:tab w:val="left" w:pos="287"/>
              </w:tabs>
              <w:spacing w:line="252" w:lineRule="auto"/>
              <w:ind w:left="117" w:firstLine="247"/>
              <w:jc w:val="both"/>
            </w:pPr>
            <w:r>
              <w:t xml:space="preserve">The current SPN registration process is closed and it is unclear when it will open again in the future. The first step is an online e-Application registration process that is open across the country, though details of this form and process have not yet been shared with humanitarians. While this is widely publicised in the media, humanitarians remain concerned that vulnerable and remote communities may not be aware or able to access the online application form. They may be able to assist in outreach and support the next time it the registration system is opened. </w:t>
            </w:r>
          </w:p>
          <w:p w:rsidR="004359AA" w:rsidRDefault="004359AA" w:rsidP="00F51F5B">
            <w:pPr>
              <w:pStyle w:val="ListParagraph"/>
            </w:pPr>
          </w:p>
          <w:p w:rsidR="004359AA" w:rsidRPr="009959BE" w:rsidRDefault="004359AA" w:rsidP="00CF2603">
            <w:pPr>
              <w:pStyle w:val="ListParagraph"/>
              <w:numPr>
                <w:ilvl w:val="0"/>
                <w:numId w:val="17"/>
              </w:numPr>
              <w:tabs>
                <w:tab w:val="left" w:pos="287"/>
              </w:tabs>
              <w:spacing w:line="252" w:lineRule="auto"/>
              <w:ind w:left="117" w:firstLine="247"/>
              <w:jc w:val="both"/>
            </w:pPr>
            <w:r>
              <w:t>Even if the SPN registration process remains closed, r</w:t>
            </w:r>
            <w:r w:rsidRPr="009959BE">
              <w:t>eferrals</w:t>
            </w:r>
            <w:r>
              <w:t xml:space="preserve"> can continue to other services. T</w:t>
            </w:r>
            <w:r w:rsidRPr="009959BE">
              <w:t xml:space="preserve">hose already registered and receiving benefits, those on waiting list, those not on MoLSA </w:t>
            </w:r>
            <w:r>
              <w:t>SPN</w:t>
            </w:r>
            <w:r w:rsidRPr="009959BE">
              <w:t xml:space="preserve"> list, but on humanitarian lists</w:t>
            </w:r>
            <w:r>
              <w:t xml:space="preserve"> could all be considered further. </w:t>
            </w:r>
          </w:p>
          <w:p w:rsidR="004359AA" w:rsidRDefault="004359AA" w:rsidP="00CF2603"/>
          <w:p w:rsidR="004359AA" w:rsidRDefault="004359AA" w:rsidP="005B58D2">
            <w:pPr>
              <w:pStyle w:val="ListParagraph"/>
              <w:numPr>
                <w:ilvl w:val="0"/>
                <w:numId w:val="17"/>
              </w:numPr>
              <w:tabs>
                <w:tab w:val="left" w:pos="287"/>
              </w:tabs>
              <w:spacing w:line="252" w:lineRule="auto"/>
              <w:ind w:left="117" w:firstLine="247"/>
              <w:jc w:val="both"/>
            </w:pPr>
            <w:r>
              <w:t>Eligibility for many GoI services requires various forms of civil documentation, which many vulnerable households are lacking. The humanitarian community provides legal assistance to assist vulnerable households to obtain civil documentation, particularly in recently retaken areas. While</w:t>
            </w:r>
            <w:r w:rsidRPr="00E033CD">
              <w:t xml:space="preserve"> the right to civil documentation should be free from </w:t>
            </w:r>
            <w:r w:rsidRPr="00E033CD">
              <w:lastRenderedPageBreak/>
              <w:t>discrimination</w:t>
            </w:r>
            <w:r>
              <w:t xml:space="preserve"> or undue barriers, households continue to face numerous obstacles.  </w:t>
            </w:r>
          </w:p>
          <w:p w:rsidR="004359AA" w:rsidRDefault="004359AA" w:rsidP="007354C7"/>
          <w:p w:rsidR="004359AA" w:rsidRPr="00BA38A1" w:rsidRDefault="004359AA" w:rsidP="007354C7">
            <w:pPr>
              <w:pStyle w:val="ListParagraph"/>
              <w:numPr>
                <w:ilvl w:val="0"/>
                <w:numId w:val="17"/>
              </w:numPr>
              <w:tabs>
                <w:tab w:val="left" w:pos="287"/>
              </w:tabs>
              <w:spacing w:line="252" w:lineRule="auto"/>
              <w:ind w:left="117" w:firstLine="247"/>
              <w:jc w:val="both"/>
            </w:pPr>
            <w:r>
              <w:t>In order to facilitate referrals an updated mapping of the coverage locations, eligibility criteria, and assessments of both humanitarian and MoLSA’s current and future work required. While the area of cash grants is currently being explored, other areas</w:t>
            </w:r>
            <w:r w:rsidRPr="00BA38A1">
              <w:t xml:space="preserve"> </w:t>
            </w:r>
            <w:r>
              <w:t>that participants identified of potential overlap</w:t>
            </w:r>
            <w:r w:rsidRPr="00BA38A1">
              <w:t xml:space="preserve"> </w:t>
            </w:r>
            <w:r>
              <w:t xml:space="preserve">with MoLSA </w:t>
            </w:r>
            <w:r w:rsidRPr="00BA38A1">
              <w:t xml:space="preserve">include: social welfare services, vocational training, microfinance, cash for work, psychosocial </w:t>
            </w:r>
            <w:r>
              <w:t xml:space="preserve">and mental health </w:t>
            </w:r>
            <w:r w:rsidRPr="00BA38A1">
              <w:t xml:space="preserve">support, support for different vulnerable groups (children, women, elderly, people with disabilities). </w:t>
            </w:r>
            <w:r>
              <w:t xml:space="preserve">Any other areas of focused would need to be determined with other actors responsible for them, including other humanitarian Clusters and development partners. </w:t>
            </w:r>
            <w:r w:rsidRPr="00BA38A1">
              <w:t>Princ</w:t>
            </w:r>
            <w:r>
              <w:t>i</w:t>
            </w:r>
            <w:r w:rsidRPr="00BA38A1">
              <w:t xml:space="preserve">ples </w:t>
            </w:r>
            <w:r>
              <w:t xml:space="preserve">should </w:t>
            </w:r>
            <w:r w:rsidRPr="00BA38A1">
              <w:t>include promotion of communication with communities and enhancing communication with and across the humanitarian community</w:t>
            </w:r>
            <w:r>
              <w:t>, including through information campaigns. Humanitarians could also contribute to enhancing</w:t>
            </w:r>
            <w:r>
              <w:rPr>
                <w:rFonts w:eastAsia="Times New Roman"/>
                <w:i/>
                <w:iCs/>
                <w:lang w:val="en-US"/>
              </w:rPr>
              <w:t xml:space="preserve"> </w:t>
            </w:r>
            <w:r w:rsidRPr="00CF668E">
              <w:rPr>
                <w:rFonts w:eastAsia="Times New Roman"/>
                <w:iCs/>
                <w:lang w:val="en-US"/>
              </w:rPr>
              <w:t>social accountability to support MOLSA’s responsiveness towards its beneficiaries, including feedback and grievances.</w:t>
            </w:r>
          </w:p>
          <w:p w:rsidR="004359AA" w:rsidRPr="00BA38A1" w:rsidRDefault="004359AA" w:rsidP="00B266AF">
            <w:pPr>
              <w:spacing w:line="252" w:lineRule="auto"/>
              <w:jc w:val="both"/>
              <w:rPr>
                <w:b/>
              </w:rPr>
            </w:pPr>
          </w:p>
          <w:p w:rsidR="004359AA" w:rsidRPr="00BA38A1" w:rsidRDefault="004359AA" w:rsidP="009525CC">
            <w:pPr>
              <w:pStyle w:val="ListParagraph"/>
              <w:numPr>
                <w:ilvl w:val="0"/>
                <w:numId w:val="13"/>
              </w:numPr>
              <w:tabs>
                <w:tab w:val="left" w:pos="287"/>
              </w:tabs>
              <w:spacing w:line="252" w:lineRule="auto"/>
              <w:ind w:left="117" w:firstLine="283"/>
              <w:jc w:val="both"/>
            </w:pPr>
            <w:r w:rsidRPr="00BA38A1">
              <w:t xml:space="preserve">The number and capacity of </w:t>
            </w:r>
            <w:r>
              <w:t xml:space="preserve">SPN </w:t>
            </w:r>
            <w:r w:rsidRPr="00BA38A1">
              <w:t xml:space="preserve">social workers in liberated areas is limited and negatively impacts MoLSA’s ability to refer beneficiaries for non-SSN services. Capacity building of social workers particularly related to psycho-social, child protection, SGBV and other key protection </w:t>
            </w:r>
            <w:r>
              <w:t xml:space="preserve">issues was identified as a need, but an in-depth capacity assessment is required to understand what is required and MoLSA’s priorities. </w:t>
            </w:r>
          </w:p>
          <w:p w:rsidR="004359AA" w:rsidRPr="00BA38A1" w:rsidRDefault="004359AA" w:rsidP="00BA38A1">
            <w:pPr>
              <w:pStyle w:val="ListParagraph"/>
              <w:tabs>
                <w:tab w:val="left" w:pos="287"/>
              </w:tabs>
              <w:spacing w:line="252" w:lineRule="auto"/>
              <w:ind w:left="400"/>
              <w:jc w:val="both"/>
            </w:pPr>
          </w:p>
          <w:p w:rsidR="004359AA" w:rsidRPr="00BA38A1" w:rsidRDefault="004359AA" w:rsidP="00BA38A1">
            <w:pPr>
              <w:pStyle w:val="ListParagraph"/>
              <w:numPr>
                <w:ilvl w:val="0"/>
                <w:numId w:val="13"/>
              </w:numPr>
              <w:tabs>
                <w:tab w:val="left" w:pos="287"/>
              </w:tabs>
              <w:spacing w:line="252" w:lineRule="auto"/>
              <w:ind w:left="117" w:firstLine="283"/>
              <w:jc w:val="both"/>
            </w:pPr>
            <w:r>
              <w:lastRenderedPageBreak/>
              <w:t>Quality referrals and follow up require a case management approach to be utilised.</w:t>
            </w:r>
            <w:r w:rsidRPr="00BA38A1">
              <w:t xml:space="preserve"> The referral and case management capacity of MoLSA social workers needs to be enhanced. INGOs and UN Agencies and have experiences in Case Management and in newly liberated areas, while the World Bank also plans on strengthening MoLSA’s case management capacity in the coming year. Ensuring consent and confidentiality of information remain a key focus in referring vulnerable populations. </w:t>
            </w:r>
          </w:p>
          <w:p w:rsidR="004359AA" w:rsidRPr="00BA38A1" w:rsidRDefault="004359AA" w:rsidP="0023584E">
            <w:pPr>
              <w:spacing w:line="252" w:lineRule="auto"/>
              <w:jc w:val="both"/>
              <w:rPr>
                <w:b/>
              </w:rPr>
            </w:pPr>
          </w:p>
          <w:p w:rsidR="004359AA" w:rsidRPr="00BA38A1" w:rsidRDefault="004359AA" w:rsidP="0071518C">
            <w:pPr>
              <w:pStyle w:val="ListParagraph"/>
              <w:numPr>
                <w:ilvl w:val="0"/>
                <w:numId w:val="12"/>
              </w:numPr>
              <w:spacing w:line="252" w:lineRule="auto"/>
              <w:ind w:left="117" w:firstLine="243"/>
              <w:jc w:val="both"/>
              <w:rPr>
                <w:b/>
              </w:rPr>
            </w:pPr>
            <w:r w:rsidRPr="00BA38A1">
              <w:t>The ability of social workers to refer to households to specialist protection and family services could be strengthened by a mapping of available humanitarian and government services, something that the Protection Cluster and other Clusters regularly undertake and update in some governorates.</w:t>
            </w:r>
            <w:r>
              <w:t xml:space="preserve"> UNICEF is also supporting a service mapping pilot in Baghdad which could be built upon in other regions in the future. </w:t>
            </w:r>
          </w:p>
          <w:p w:rsidR="004359AA" w:rsidRPr="00BA38A1" w:rsidRDefault="004359AA" w:rsidP="004F5B26">
            <w:pPr>
              <w:spacing w:line="252" w:lineRule="auto"/>
              <w:jc w:val="both"/>
              <w:rPr>
                <w:b/>
              </w:rPr>
            </w:pPr>
          </w:p>
          <w:p w:rsidR="004359AA" w:rsidRPr="00A34FFB" w:rsidRDefault="004359AA" w:rsidP="00BA38A1">
            <w:pPr>
              <w:pStyle w:val="ListParagraph"/>
              <w:numPr>
                <w:ilvl w:val="0"/>
                <w:numId w:val="12"/>
              </w:numPr>
              <w:spacing w:line="252" w:lineRule="auto"/>
              <w:ind w:left="117" w:firstLine="243"/>
              <w:jc w:val="both"/>
              <w:rPr>
                <w:b/>
              </w:rPr>
            </w:pPr>
            <w:r w:rsidRPr="00BA38A1">
              <w:t xml:space="preserve">In order to provide better quality of services for households, MoLSA needs to reduce the number of households that each social worker is responsible for. </w:t>
            </w:r>
          </w:p>
          <w:p w:rsidR="004359AA" w:rsidRPr="00A34FFB" w:rsidRDefault="004359AA" w:rsidP="00A34FFB">
            <w:pPr>
              <w:pStyle w:val="ListParagraph"/>
              <w:rPr>
                <w:b/>
              </w:rPr>
            </w:pPr>
          </w:p>
          <w:p w:rsidR="004359AA" w:rsidRPr="007354C7" w:rsidRDefault="004359AA" w:rsidP="007354C7">
            <w:pPr>
              <w:pStyle w:val="ListParagraph"/>
              <w:numPr>
                <w:ilvl w:val="0"/>
                <w:numId w:val="12"/>
              </w:numPr>
              <w:spacing w:line="252" w:lineRule="auto"/>
              <w:ind w:left="117" w:firstLine="243"/>
              <w:jc w:val="both"/>
              <w:rPr>
                <w:b/>
              </w:rPr>
            </w:pPr>
            <w:r>
              <w:t>Discussions recognised that many actors outside of the CWG and SPN have relevant expertise and would benefit from inclusion in these discussions. Further exploration on</w:t>
            </w:r>
            <w:r w:rsidRPr="00BA38A1">
              <w:t xml:space="preserve"> the means to increase the referral capacity and case management capacity of social workers to specialist protection and family services</w:t>
            </w:r>
            <w:r>
              <w:t xml:space="preserve"> and other services, including strengthening referrals </w:t>
            </w:r>
            <w:r w:rsidRPr="0023584E">
              <w:t>between humanitarian protection services and MoLSA social welfare services</w:t>
            </w:r>
            <w:r>
              <w:t xml:space="preserve"> would be ideal, but is beyond the commitment of the participants of the workshop. </w:t>
            </w:r>
          </w:p>
        </w:tc>
        <w:tc>
          <w:tcPr>
            <w:tcW w:w="4820" w:type="dxa"/>
          </w:tcPr>
          <w:p w:rsidR="004359AA" w:rsidRDefault="004359AA" w:rsidP="001F3409">
            <w:pPr>
              <w:spacing w:line="252" w:lineRule="auto"/>
              <w:jc w:val="both"/>
            </w:pPr>
            <w:r>
              <w:rPr>
                <w:b/>
              </w:rPr>
              <w:lastRenderedPageBreak/>
              <w:t xml:space="preserve">1. </w:t>
            </w:r>
            <w:r w:rsidRPr="00A45B6B">
              <w:rPr>
                <w:b/>
              </w:rPr>
              <w:t>Supporting e-Application Process:</w:t>
            </w:r>
            <w:r>
              <w:t xml:space="preserve"> MoLSA to provide additional information on this e-Application online SPN registration process, including content (documentation with potential training) and when it will be open again to facilitate advanced planning for support from humanitarian actors. Humanitarian community to determine ways it could provide support to MoLSA to enable vulnerable households to access and complete the MoLSA e-Application.</w:t>
            </w:r>
          </w:p>
          <w:p w:rsidR="004359AA" w:rsidRPr="009525CC" w:rsidRDefault="004359AA" w:rsidP="00A45B6B">
            <w:pPr>
              <w:spacing w:line="252" w:lineRule="auto"/>
              <w:jc w:val="both"/>
            </w:pPr>
          </w:p>
        </w:tc>
        <w:tc>
          <w:tcPr>
            <w:tcW w:w="2410" w:type="dxa"/>
          </w:tcPr>
          <w:p w:rsidR="004359AA" w:rsidRDefault="004359AA" w:rsidP="001F3409">
            <w:pPr>
              <w:jc w:val="both"/>
              <w:rPr>
                <w:b/>
              </w:rPr>
            </w:pPr>
            <w:r>
              <w:rPr>
                <w:b/>
              </w:rPr>
              <w:t>By 15 Dec 2018</w:t>
            </w:r>
          </w:p>
          <w:p w:rsidR="004359AA" w:rsidRDefault="004359AA" w:rsidP="001F3409">
            <w:pPr>
              <w:jc w:val="both"/>
              <w:rPr>
                <w:i/>
              </w:rPr>
            </w:pPr>
            <w:r>
              <w:rPr>
                <w:i/>
              </w:rPr>
              <w:t>MoLSA (TBC Focal Point) to lead with CWG (TBC Focal Point).</w:t>
            </w:r>
          </w:p>
          <w:p w:rsidR="004359AA" w:rsidRDefault="004359AA" w:rsidP="001F3409">
            <w:pPr>
              <w:jc w:val="both"/>
              <w:rPr>
                <w:i/>
              </w:rPr>
            </w:pPr>
          </w:p>
          <w:p w:rsidR="004359AA" w:rsidRPr="00902643" w:rsidRDefault="004359AA" w:rsidP="00BA38A1">
            <w:pPr>
              <w:jc w:val="both"/>
            </w:pPr>
            <w:r>
              <w:rPr>
                <w:i/>
              </w:rPr>
              <w:t>Note: consider inviting Communicating with Communities Task Force</w:t>
            </w:r>
          </w:p>
        </w:tc>
      </w:tr>
      <w:tr w:rsidR="004359AA" w:rsidTr="00463B56">
        <w:trPr>
          <w:trHeight w:val="1480"/>
        </w:trPr>
        <w:tc>
          <w:tcPr>
            <w:tcW w:w="6912" w:type="dxa"/>
            <w:vMerge/>
            <w:shd w:val="clear" w:color="auto" w:fill="DEEAF6" w:themeFill="accent1" w:themeFillTint="33"/>
          </w:tcPr>
          <w:p w:rsidR="004359AA" w:rsidRDefault="004359AA" w:rsidP="00BA38A1">
            <w:pPr>
              <w:tabs>
                <w:tab w:val="left" w:pos="287"/>
              </w:tabs>
              <w:spacing w:line="252" w:lineRule="auto"/>
              <w:jc w:val="both"/>
            </w:pPr>
          </w:p>
        </w:tc>
        <w:tc>
          <w:tcPr>
            <w:tcW w:w="4820" w:type="dxa"/>
          </w:tcPr>
          <w:p w:rsidR="004359AA" w:rsidRDefault="004359AA" w:rsidP="001F3409">
            <w:pPr>
              <w:spacing w:line="252" w:lineRule="auto"/>
              <w:jc w:val="both"/>
            </w:pPr>
            <w:r>
              <w:rPr>
                <w:b/>
              </w:rPr>
              <w:t xml:space="preserve">2.  </w:t>
            </w:r>
            <w:r w:rsidRPr="00A37426">
              <w:rPr>
                <w:b/>
              </w:rPr>
              <w:t>Share MoLSA Services Eligibility Criteria:</w:t>
            </w:r>
            <w:r>
              <w:t xml:space="preserve"> </w:t>
            </w:r>
          </w:p>
          <w:p w:rsidR="004359AA" w:rsidRPr="00482CBC" w:rsidRDefault="004359AA" w:rsidP="001F3409">
            <w:pPr>
              <w:spacing w:line="252" w:lineRule="auto"/>
              <w:ind w:left="5"/>
              <w:jc w:val="both"/>
            </w:pPr>
            <w:r>
              <w:t xml:space="preserve">MoLSA to organise a working meeting to compare, analyse, and share information on eligibility criteria for the range of different social welfare and employment services it has available, </w:t>
            </w:r>
            <w:r w:rsidRPr="009959BE">
              <w:t>and the privacy/security risks for each service</w:t>
            </w:r>
            <w:r>
              <w:t xml:space="preserve">. </w:t>
            </w:r>
          </w:p>
          <w:p w:rsidR="004359AA" w:rsidRPr="00BA38A1" w:rsidRDefault="004359AA" w:rsidP="005A52D6">
            <w:pPr>
              <w:spacing w:line="252" w:lineRule="auto"/>
              <w:jc w:val="both"/>
            </w:pPr>
          </w:p>
        </w:tc>
        <w:tc>
          <w:tcPr>
            <w:tcW w:w="2410" w:type="dxa"/>
          </w:tcPr>
          <w:p w:rsidR="004359AA" w:rsidRPr="00D426BC" w:rsidRDefault="004359AA" w:rsidP="001F3409">
            <w:pPr>
              <w:jc w:val="both"/>
              <w:rPr>
                <w:b/>
              </w:rPr>
            </w:pPr>
            <w:r w:rsidRPr="00D426BC">
              <w:rPr>
                <w:b/>
              </w:rPr>
              <w:t xml:space="preserve">By </w:t>
            </w:r>
            <w:r>
              <w:rPr>
                <w:b/>
              </w:rPr>
              <w:t>30 October</w:t>
            </w:r>
            <w:r w:rsidRPr="00D426BC">
              <w:rPr>
                <w:b/>
              </w:rPr>
              <w:t xml:space="preserve">  2018</w:t>
            </w:r>
          </w:p>
          <w:p w:rsidR="004359AA" w:rsidRPr="00A45B6B" w:rsidRDefault="004359AA" w:rsidP="00BA38A1">
            <w:pPr>
              <w:jc w:val="both"/>
              <w:rPr>
                <w:i/>
              </w:rPr>
            </w:pPr>
            <w:r w:rsidRPr="008557DD">
              <w:rPr>
                <w:i/>
              </w:rPr>
              <w:t xml:space="preserve">MoLSA </w:t>
            </w:r>
            <w:r>
              <w:rPr>
                <w:i/>
              </w:rPr>
              <w:t>(</w:t>
            </w:r>
            <w:r w:rsidRPr="00962E83">
              <w:rPr>
                <w:i/>
              </w:rPr>
              <w:t>Women’s Directorate</w:t>
            </w:r>
            <w:r>
              <w:rPr>
                <w:i/>
              </w:rPr>
              <w:t xml:space="preserve">?), with UNICEF (Farah) and UNHCR (Annika) support. </w:t>
            </w:r>
          </w:p>
        </w:tc>
      </w:tr>
      <w:tr w:rsidR="00BA38A1" w:rsidTr="00463B56">
        <w:trPr>
          <w:trHeight w:val="1480"/>
        </w:trPr>
        <w:tc>
          <w:tcPr>
            <w:tcW w:w="6912" w:type="dxa"/>
            <w:vMerge/>
            <w:shd w:val="clear" w:color="auto" w:fill="DEEAF6" w:themeFill="accent1" w:themeFillTint="33"/>
          </w:tcPr>
          <w:p w:rsidR="00BA38A1" w:rsidRDefault="00BA38A1" w:rsidP="00BA38A1">
            <w:pPr>
              <w:tabs>
                <w:tab w:val="left" w:pos="287"/>
              </w:tabs>
              <w:spacing w:line="252" w:lineRule="auto"/>
              <w:jc w:val="both"/>
            </w:pPr>
          </w:p>
        </w:tc>
        <w:tc>
          <w:tcPr>
            <w:tcW w:w="4820" w:type="dxa"/>
          </w:tcPr>
          <w:p w:rsidR="00BA38A1" w:rsidRDefault="004359AA" w:rsidP="00BA38A1">
            <w:pPr>
              <w:spacing w:line="252" w:lineRule="auto"/>
              <w:jc w:val="both"/>
            </w:pPr>
            <w:r>
              <w:rPr>
                <w:b/>
              </w:rPr>
              <w:t>3</w:t>
            </w:r>
            <w:r w:rsidR="00BA38A1">
              <w:rPr>
                <w:b/>
              </w:rPr>
              <w:t xml:space="preserve">. Mapping of Existing </w:t>
            </w:r>
            <w:r w:rsidR="009D7E8A">
              <w:rPr>
                <w:b/>
              </w:rPr>
              <w:t xml:space="preserve">Cash </w:t>
            </w:r>
            <w:r w:rsidR="00BA38A1">
              <w:rPr>
                <w:b/>
              </w:rPr>
              <w:t xml:space="preserve">Services: </w:t>
            </w:r>
            <w:r w:rsidR="00DE67D2">
              <w:t>Additional information sharing will take place to f</w:t>
            </w:r>
            <w:r w:rsidR="00BA38A1">
              <w:t xml:space="preserve">acilitate a clear mapping of existing </w:t>
            </w:r>
            <w:r w:rsidR="009D7E8A">
              <w:t>cash transfers/</w:t>
            </w:r>
            <w:r w:rsidR="00BA38A1">
              <w:t xml:space="preserve">services ahead of </w:t>
            </w:r>
            <w:r w:rsidR="009D7E8A">
              <w:t xml:space="preserve">any </w:t>
            </w:r>
            <w:r w:rsidR="00BA38A1">
              <w:t>referrals taking plac</w:t>
            </w:r>
            <w:r w:rsidR="00DE67D2">
              <w:t>e:</w:t>
            </w:r>
          </w:p>
          <w:p w:rsidR="009D7E8A" w:rsidRDefault="009D7E8A" w:rsidP="009D7E8A">
            <w:pPr>
              <w:spacing w:line="252" w:lineRule="auto"/>
              <w:jc w:val="both"/>
            </w:pPr>
          </w:p>
          <w:p w:rsidR="00BA38A1" w:rsidRDefault="00BA38A1" w:rsidP="009D7E8A">
            <w:pPr>
              <w:pStyle w:val="ListParagraph"/>
              <w:numPr>
                <w:ilvl w:val="0"/>
                <w:numId w:val="18"/>
              </w:numPr>
              <w:spacing w:line="252" w:lineRule="auto"/>
              <w:jc w:val="both"/>
            </w:pPr>
            <w:r>
              <w:t xml:space="preserve">CWG to conduct </w:t>
            </w:r>
            <w:r w:rsidR="00A45B6B" w:rsidRPr="009D7E8A">
              <w:rPr>
                <w:u w:val="single"/>
              </w:rPr>
              <w:t xml:space="preserve">humanitarian </w:t>
            </w:r>
            <w:r w:rsidRPr="009D7E8A">
              <w:rPr>
                <w:u w:val="single"/>
              </w:rPr>
              <w:t>vulnerability</w:t>
            </w:r>
            <w:r>
              <w:t xml:space="preserve"> mapping across Iraq</w:t>
            </w:r>
            <w:r w:rsidR="00CB104A">
              <w:t xml:space="preserve"> based on MPCA assessment data </w:t>
            </w:r>
            <w:r w:rsidR="009F6B03">
              <w:t>to be shared with WB and MoLSA</w:t>
            </w:r>
            <w:r w:rsidR="009D7E8A">
              <w:t>.</w:t>
            </w:r>
          </w:p>
          <w:p w:rsidR="009D7E8A" w:rsidRDefault="009D7E8A" w:rsidP="009D7E8A">
            <w:pPr>
              <w:pStyle w:val="ListParagraph"/>
              <w:spacing w:line="252" w:lineRule="auto"/>
              <w:jc w:val="both"/>
            </w:pPr>
          </w:p>
          <w:p w:rsidR="002C6878" w:rsidRDefault="00A45B6B" w:rsidP="00DE67D2">
            <w:pPr>
              <w:pStyle w:val="ListParagraph"/>
              <w:numPr>
                <w:ilvl w:val="0"/>
                <w:numId w:val="18"/>
              </w:numPr>
              <w:spacing w:line="252" w:lineRule="auto"/>
              <w:jc w:val="both"/>
            </w:pPr>
            <w:r w:rsidRPr="00DE67D2">
              <w:t>Joint mapping of MoLSA SPN services and humanitarian cash programmes: locations, coverage, functionality and status of MoLSA registered families (payed, waiting list, potentially eligible).</w:t>
            </w:r>
          </w:p>
          <w:p w:rsidR="009D7E8A" w:rsidRPr="00DE67D2" w:rsidRDefault="009D7E8A" w:rsidP="009D7E8A">
            <w:pPr>
              <w:spacing w:line="252" w:lineRule="auto"/>
              <w:jc w:val="both"/>
            </w:pPr>
          </w:p>
        </w:tc>
        <w:tc>
          <w:tcPr>
            <w:tcW w:w="2410" w:type="dxa"/>
          </w:tcPr>
          <w:p w:rsidR="00D426BC" w:rsidRDefault="00D426BC" w:rsidP="00BA38A1">
            <w:pPr>
              <w:jc w:val="both"/>
              <w:rPr>
                <w:b/>
                <w:i/>
              </w:rPr>
            </w:pPr>
          </w:p>
          <w:p w:rsidR="00D426BC" w:rsidRDefault="00D426BC" w:rsidP="00BA38A1">
            <w:pPr>
              <w:jc w:val="both"/>
              <w:rPr>
                <w:b/>
                <w:i/>
              </w:rPr>
            </w:pPr>
          </w:p>
          <w:p w:rsidR="00D426BC" w:rsidRDefault="00D426BC" w:rsidP="00BA38A1">
            <w:pPr>
              <w:jc w:val="both"/>
              <w:rPr>
                <w:b/>
                <w:i/>
              </w:rPr>
            </w:pPr>
          </w:p>
          <w:p w:rsidR="00D426BC" w:rsidRDefault="00D426BC" w:rsidP="00BA38A1">
            <w:pPr>
              <w:jc w:val="both"/>
              <w:rPr>
                <w:b/>
                <w:i/>
              </w:rPr>
            </w:pPr>
          </w:p>
          <w:p w:rsidR="0089488A" w:rsidRDefault="0089488A" w:rsidP="00BA38A1">
            <w:pPr>
              <w:jc w:val="both"/>
              <w:rPr>
                <w:b/>
              </w:rPr>
            </w:pPr>
          </w:p>
          <w:p w:rsidR="00BA38A1" w:rsidRPr="007354C7" w:rsidRDefault="00BA38A1" w:rsidP="00BA38A1">
            <w:pPr>
              <w:jc w:val="both"/>
              <w:rPr>
                <w:b/>
              </w:rPr>
            </w:pPr>
            <w:r w:rsidRPr="00D426BC">
              <w:rPr>
                <w:b/>
              </w:rPr>
              <w:t xml:space="preserve">By </w:t>
            </w:r>
            <w:r w:rsidR="009F6B03">
              <w:rPr>
                <w:b/>
              </w:rPr>
              <w:t xml:space="preserve">30 </w:t>
            </w:r>
            <w:r w:rsidR="009D7E8A">
              <w:rPr>
                <w:b/>
              </w:rPr>
              <w:t>September</w:t>
            </w:r>
            <w:r w:rsidRPr="00D426BC">
              <w:rPr>
                <w:b/>
              </w:rPr>
              <w:t xml:space="preserve"> 2018</w:t>
            </w:r>
            <w:r w:rsidRPr="00D426BC">
              <w:t xml:space="preserve"> </w:t>
            </w:r>
          </w:p>
          <w:p w:rsidR="00BA38A1" w:rsidRPr="00962E83" w:rsidRDefault="009D7E8A" w:rsidP="00BA38A1">
            <w:pPr>
              <w:jc w:val="both"/>
              <w:rPr>
                <w:i/>
              </w:rPr>
            </w:pPr>
            <w:r>
              <w:rPr>
                <w:i/>
              </w:rPr>
              <w:t xml:space="preserve">CWG </w:t>
            </w:r>
          </w:p>
          <w:p w:rsidR="00BA38A1" w:rsidRDefault="00BA38A1" w:rsidP="00BA38A1">
            <w:pPr>
              <w:jc w:val="both"/>
              <w:rPr>
                <w:b/>
                <w:i/>
              </w:rPr>
            </w:pPr>
          </w:p>
          <w:p w:rsidR="00D426BC" w:rsidRDefault="00D426BC" w:rsidP="00BA38A1">
            <w:pPr>
              <w:jc w:val="both"/>
              <w:rPr>
                <w:b/>
                <w:i/>
              </w:rPr>
            </w:pPr>
          </w:p>
          <w:p w:rsidR="009D7E8A" w:rsidRDefault="009D7E8A" w:rsidP="00DE67D2">
            <w:pPr>
              <w:jc w:val="both"/>
              <w:rPr>
                <w:b/>
              </w:rPr>
            </w:pPr>
          </w:p>
          <w:p w:rsidR="00DE67D2" w:rsidRPr="00D426BC" w:rsidRDefault="00DE67D2" w:rsidP="00DE67D2">
            <w:pPr>
              <w:jc w:val="both"/>
            </w:pPr>
            <w:r w:rsidRPr="00D426BC">
              <w:rPr>
                <w:b/>
              </w:rPr>
              <w:t xml:space="preserve">By </w:t>
            </w:r>
            <w:r w:rsidR="009D7E8A">
              <w:rPr>
                <w:b/>
              </w:rPr>
              <w:t>November</w:t>
            </w:r>
            <w:r w:rsidRPr="00D426BC">
              <w:rPr>
                <w:b/>
              </w:rPr>
              <w:t xml:space="preserve"> 2018</w:t>
            </w:r>
            <w:r w:rsidRPr="00D426BC">
              <w:t xml:space="preserve"> </w:t>
            </w:r>
          </w:p>
          <w:p w:rsidR="00D426BC" w:rsidRPr="00962E83" w:rsidRDefault="00D426BC" w:rsidP="00D426BC">
            <w:pPr>
              <w:jc w:val="both"/>
              <w:rPr>
                <w:i/>
              </w:rPr>
            </w:pPr>
            <w:r>
              <w:rPr>
                <w:i/>
              </w:rPr>
              <w:t>MoLSA (Mr. Jamal) &amp; CWG (</w:t>
            </w:r>
            <w:r w:rsidR="009D7E8A">
              <w:rPr>
                <w:i/>
              </w:rPr>
              <w:t xml:space="preserve">Eva, </w:t>
            </w:r>
            <w:r>
              <w:rPr>
                <w:i/>
              </w:rPr>
              <w:t>IMO)</w:t>
            </w:r>
          </w:p>
          <w:p w:rsidR="00D426BC" w:rsidRPr="00962E83" w:rsidRDefault="00D426BC" w:rsidP="00DE67D2">
            <w:pPr>
              <w:jc w:val="both"/>
              <w:rPr>
                <w:b/>
                <w:i/>
              </w:rPr>
            </w:pPr>
          </w:p>
        </w:tc>
      </w:tr>
      <w:tr w:rsidR="00DD2DC0" w:rsidTr="00463B56">
        <w:trPr>
          <w:trHeight w:val="1480"/>
        </w:trPr>
        <w:tc>
          <w:tcPr>
            <w:tcW w:w="6912" w:type="dxa"/>
            <w:vMerge/>
            <w:shd w:val="clear" w:color="auto" w:fill="DEEAF6" w:themeFill="accent1" w:themeFillTint="33"/>
          </w:tcPr>
          <w:p w:rsidR="00DD2DC0" w:rsidRDefault="00DD2DC0" w:rsidP="00BA38A1">
            <w:pPr>
              <w:tabs>
                <w:tab w:val="left" w:pos="287"/>
              </w:tabs>
              <w:spacing w:line="252" w:lineRule="auto"/>
              <w:jc w:val="both"/>
            </w:pPr>
          </w:p>
        </w:tc>
        <w:tc>
          <w:tcPr>
            <w:tcW w:w="4820" w:type="dxa"/>
          </w:tcPr>
          <w:p w:rsidR="00DD2DC0" w:rsidRPr="00612440" w:rsidRDefault="00DD2DC0" w:rsidP="00091EC9">
            <w:pPr>
              <w:jc w:val="both"/>
              <w:rPr>
                <w:b/>
              </w:rPr>
            </w:pPr>
            <w:r>
              <w:rPr>
                <w:b/>
              </w:rPr>
              <w:t xml:space="preserve">4. Planning for Referrals to SPN: </w:t>
            </w:r>
          </w:p>
          <w:p w:rsidR="00DD2DC0" w:rsidRPr="00A34FFB" w:rsidRDefault="00DD2DC0" w:rsidP="00091EC9">
            <w:pPr>
              <w:pStyle w:val="ListParagraph"/>
              <w:numPr>
                <w:ilvl w:val="0"/>
                <w:numId w:val="20"/>
              </w:numPr>
              <w:spacing w:line="252" w:lineRule="auto"/>
              <w:jc w:val="both"/>
              <w:rPr>
                <w:b/>
              </w:rPr>
            </w:pPr>
            <w:r>
              <w:t xml:space="preserve">Joint planning between MoLSA and international actors on how and when humanitarian beneficiaries can be responsibly and </w:t>
            </w:r>
            <w:r w:rsidRPr="00482CBC">
              <w:t xml:space="preserve">appropriately </w:t>
            </w:r>
            <w:r>
              <w:t>linked</w:t>
            </w:r>
            <w:r w:rsidRPr="00482CBC">
              <w:t xml:space="preserve"> to MoLSA services, where assistance is accessible and on the basis of consent</w:t>
            </w:r>
            <w:r>
              <w:t xml:space="preserve">. </w:t>
            </w:r>
          </w:p>
          <w:p w:rsidR="00DD2DC0" w:rsidRPr="00A34FFB" w:rsidRDefault="00DD2DC0" w:rsidP="00091EC9">
            <w:pPr>
              <w:pStyle w:val="ListParagraph"/>
              <w:rPr>
                <w:b/>
              </w:rPr>
            </w:pPr>
          </w:p>
          <w:p w:rsidR="00DD2DC0" w:rsidRDefault="00DD2DC0" w:rsidP="00BA38A1">
            <w:pPr>
              <w:spacing w:line="252" w:lineRule="auto"/>
              <w:jc w:val="both"/>
              <w:rPr>
                <w:b/>
              </w:rPr>
            </w:pPr>
            <w:r>
              <w:t xml:space="preserve">Develop procedures for referrals by MoLSA to international actors for specialised support on an </w:t>
            </w:r>
            <w:r w:rsidRPr="00A34FFB">
              <w:rPr>
                <w:i/>
              </w:rPr>
              <w:t>ad hoc</w:t>
            </w:r>
            <w:r>
              <w:t xml:space="preserve"> basis.</w:t>
            </w:r>
          </w:p>
        </w:tc>
        <w:tc>
          <w:tcPr>
            <w:tcW w:w="2410" w:type="dxa"/>
          </w:tcPr>
          <w:p w:rsidR="00DD2DC0" w:rsidRDefault="00DD2DC0" w:rsidP="00091EC9">
            <w:pPr>
              <w:jc w:val="both"/>
              <w:rPr>
                <w:b/>
              </w:rPr>
            </w:pPr>
          </w:p>
          <w:p w:rsidR="00DD2DC0" w:rsidRPr="00D426BC" w:rsidRDefault="00DD2DC0" w:rsidP="00091EC9">
            <w:pPr>
              <w:jc w:val="both"/>
            </w:pPr>
            <w:r w:rsidRPr="00D426BC">
              <w:rPr>
                <w:b/>
              </w:rPr>
              <w:t xml:space="preserve">By </w:t>
            </w:r>
            <w:r>
              <w:rPr>
                <w:b/>
              </w:rPr>
              <w:t>15 December</w:t>
            </w:r>
            <w:r w:rsidRPr="00D426BC">
              <w:rPr>
                <w:b/>
              </w:rPr>
              <w:t xml:space="preserve"> 2018</w:t>
            </w:r>
            <w:r w:rsidRPr="00D426BC">
              <w:t xml:space="preserve"> </w:t>
            </w:r>
          </w:p>
          <w:p w:rsidR="00DD2DC0" w:rsidRPr="00962E83" w:rsidRDefault="00DD2DC0" w:rsidP="00091EC9">
            <w:pPr>
              <w:jc w:val="both"/>
              <w:rPr>
                <w:i/>
              </w:rPr>
            </w:pPr>
            <w:r>
              <w:rPr>
                <w:i/>
              </w:rPr>
              <w:t>MoLSA (TBC), World Bank (CM Practice Lead) &amp; CWG (Francesca)</w:t>
            </w:r>
          </w:p>
          <w:p w:rsidR="00DD2DC0" w:rsidRDefault="00DD2DC0" w:rsidP="00091EC9">
            <w:pPr>
              <w:jc w:val="both"/>
              <w:rPr>
                <w:b/>
                <w:i/>
              </w:rPr>
            </w:pPr>
          </w:p>
          <w:p w:rsidR="00DD2DC0" w:rsidRDefault="00DD2DC0" w:rsidP="00091EC9">
            <w:pPr>
              <w:jc w:val="both"/>
              <w:rPr>
                <w:b/>
                <w:i/>
              </w:rPr>
            </w:pPr>
          </w:p>
          <w:p w:rsidR="00DD2DC0" w:rsidRDefault="00DD2DC0" w:rsidP="00091EC9">
            <w:pPr>
              <w:jc w:val="both"/>
              <w:rPr>
                <w:b/>
              </w:rPr>
            </w:pPr>
          </w:p>
          <w:p w:rsidR="00DD2DC0" w:rsidRPr="00DE67D2" w:rsidRDefault="00DD2DC0" w:rsidP="00091EC9">
            <w:pPr>
              <w:jc w:val="both"/>
            </w:pPr>
            <w:r w:rsidRPr="00DE67D2">
              <w:rPr>
                <w:b/>
              </w:rPr>
              <w:t xml:space="preserve">By </w:t>
            </w:r>
            <w:r>
              <w:rPr>
                <w:b/>
              </w:rPr>
              <w:t xml:space="preserve">February </w:t>
            </w:r>
            <w:r w:rsidRPr="00DE67D2">
              <w:rPr>
                <w:b/>
              </w:rPr>
              <w:t xml:space="preserve">2018 </w:t>
            </w:r>
          </w:p>
          <w:p w:rsidR="00DD2DC0" w:rsidRDefault="00DD2DC0" w:rsidP="00BA38A1">
            <w:pPr>
              <w:jc w:val="both"/>
              <w:rPr>
                <w:b/>
                <w:i/>
              </w:rPr>
            </w:pPr>
            <w:r>
              <w:rPr>
                <w:i/>
              </w:rPr>
              <w:t>Social Protection Forum with ICCG input.</w:t>
            </w:r>
          </w:p>
        </w:tc>
      </w:tr>
      <w:tr w:rsidR="00DD2DC0" w:rsidTr="00DD2DC0">
        <w:trPr>
          <w:trHeight w:val="1497"/>
        </w:trPr>
        <w:tc>
          <w:tcPr>
            <w:tcW w:w="6912" w:type="dxa"/>
            <w:vMerge/>
            <w:shd w:val="clear" w:color="auto" w:fill="DEEAF6" w:themeFill="accent1" w:themeFillTint="33"/>
          </w:tcPr>
          <w:p w:rsidR="00DD2DC0" w:rsidRDefault="00DD2DC0" w:rsidP="00BA38A1">
            <w:pPr>
              <w:tabs>
                <w:tab w:val="left" w:pos="287"/>
              </w:tabs>
              <w:spacing w:line="252" w:lineRule="auto"/>
              <w:jc w:val="both"/>
            </w:pPr>
          </w:p>
        </w:tc>
        <w:tc>
          <w:tcPr>
            <w:tcW w:w="7230" w:type="dxa"/>
            <w:gridSpan w:val="2"/>
          </w:tcPr>
          <w:p w:rsidR="00DD2DC0" w:rsidRDefault="00DD2DC0" w:rsidP="004359AA">
            <w:pPr>
              <w:jc w:val="both"/>
              <w:rPr>
                <w:b/>
              </w:rPr>
            </w:pPr>
            <w:r>
              <w:rPr>
                <w:b/>
              </w:rPr>
              <w:t xml:space="preserve">Below actions recommend to engage a wider range of actors in the humanitarian space and MoLSA departments, other than the CWG and SPN. Their interest and participation levels will be determined and followed up through the implementation of this plan and establishment of the Social Protection Forum. </w:t>
            </w:r>
          </w:p>
        </w:tc>
      </w:tr>
      <w:tr w:rsidR="00DD2DC0" w:rsidTr="00463B56">
        <w:trPr>
          <w:trHeight w:val="1480"/>
        </w:trPr>
        <w:tc>
          <w:tcPr>
            <w:tcW w:w="6912" w:type="dxa"/>
            <w:vMerge/>
            <w:shd w:val="clear" w:color="auto" w:fill="DEEAF6" w:themeFill="accent1" w:themeFillTint="33"/>
          </w:tcPr>
          <w:p w:rsidR="00DD2DC0" w:rsidRDefault="00DD2DC0" w:rsidP="00BA38A1">
            <w:pPr>
              <w:tabs>
                <w:tab w:val="left" w:pos="287"/>
              </w:tabs>
              <w:spacing w:line="252" w:lineRule="auto"/>
              <w:jc w:val="both"/>
            </w:pPr>
          </w:p>
        </w:tc>
        <w:tc>
          <w:tcPr>
            <w:tcW w:w="4820" w:type="dxa"/>
          </w:tcPr>
          <w:p w:rsidR="00DD2DC0" w:rsidRDefault="00DD2DC0" w:rsidP="00482CBC">
            <w:pPr>
              <w:jc w:val="both"/>
              <w:rPr>
                <w:b/>
              </w:rPr>
            </w:pPr>
            <w:r>
              <w:rPr>
                <w:b/>
              </w:rPr>
              <w:t>5. Access to Civil Documentation:</w:t>
            </w:r>
            <w:r>
              <w:t xml:space="preserve">  MoLSA to advocate for a harmonized process across different governorates to obtain civil documentation necessary to access MoLSA services, whilst supporting a mechanism to access documentation outside of place of origin for displaced people at risk. Humanitarians with legal documentation experience to provide assistance where needed. </w:t>
            </w:r>
          </w:p>
        </w:tc>
        <w:tc>
          <w:tcPr>
            <w:tcW w:w="2410" w:type="dxa"/>
          </w:tcPr>
          <w:p w:rsidR="00DD2DC0" w:rsidRPr="00F51F5B" w:rsidRDefault="00DD2DC0" w:rsidP="001F3409">
            <w:pPr>
              <w:jc w:val="both"/>
              <w:rPr>
                <w:b/>
              </w:rPr>
            </w:pPr>
            <w:r>
              <w:rPr>
                <w:b/>
              </w:rPr>
              <w:t>By 30</w:t>
            </w:r>
            <w:r w:rsidRPr="00F51F5B">
              <w:rPr>
                <w:b/>
              </w:rPr>
              <w:t xml:space="preserve"> </w:t>
            </w:r>
            <w:r>
              <w:rPr>
                <w:b/>
              </w:rPr>
              <w:t>Oct</w:t>
            </w:r>
            <w:r w:rsidRPr="00F51F5B">
              <w:rPr>
                <w:b/>
              </w:rPr>
              <w:t xml:space="preserve"> 2018</w:t>
            </w:r>
          </w:p>
          <w:p w:rsidR="00DD2DC0" w:rsidRDefault="00DD2DC0" w:rsidP="001F3409">
            <w:pPr>
              <w:jc w:val="both"/>
              <w:rPr>
                <w:i/>
              </w:rPr>
            </w:pPr>
            <w:r>
              <w:rPr>
                <w:i/>
              </w:rPr>
              <w:t>CCI (Lotti &amp; protection partners) to lead discussion with Social Protection Forum.</w:t>
            </w:r>
          </w:p>
          <w:p w:rsidR="00DD2DC0" w:rsidRDefault="00DD2DC0" w:rsidP="001F3409">
            <w:pPr>
              <w:jc w:val="both"/>
              <w:rPr>
                <w:i/>
              </w:rPr>
            </w:pPr>
            <w:r w:rsidRPr="00F51F5B">
              <w:rPr>
                <w:i/>
              </w:rPr>
              <w:t>Note:</w:t>
            </w:r>
            <w:r>
              <w:rPr>
                <w:i/>
              </w:rPr>
              <w:t xml:space="preserve"> consider</w:t>
            </w:r>
            <w:r w:rsidRPr="00F51F5B">
              <w:rPr>
                <w:i/>
              </w:rPr>
              <w:t xml:space="preserve"> </w:t>
            </w:r>
            <w:r>
              <w:rPr>
                <w:i/>
              </w:rPr>
              <w:t>close coordination with</w:t>
            </w:r>
            <w:r w:rsidRPr="00F51F5B">
              <w:rPr>
                <w:i/>
              </w:rPr>
              <w:t xml:space="preserve"> Protection Cluster</w:t>
            </w:r>
            <w:r>
              <w:rPr>
                <w:i/>
              </w:rPr>
              <w:t xml:space="preserve"> and HLP sub-cluster.</w:t>
            </w:r>
          </w:p>
          <w:p w:rsidR="00DD2DC0" w:rsidRDefault="00DD2DC0" w:rsidP="00482CBC">
            <w:pPr>
              <w:jc w:val="both"/>
              <w:rPr>
                <w:b/>
              </w:rPr>
            </w:pPr>
          </w:p>
        </w:tc>
      </w:tr>
      <w:tr w:rsidR="00DD2DC0" w:rsidTr="00463B56">
        <w:trPr>
          <w:trHeight w:val="1480"/>
        </w:trPr>
        <w:tc>
          <w:tcPr>
            <w:tcW w:w="6912" w:type="dxa"/>
            <w:vMerge/>
            <w:shd w:val="clear" w:color="auto" w:fill="DEEAF6" w:themeFill="accent1" w:themeFillTint="33"/>
          </w:tcPr>
          <w:p w:rsidR="00DD2DC0" w:rsidRDefault="00DD2DC0" w:rsidP="00BA38A1">
            <w:pPr>
              <w:tabs>
                <w:tab w:val="left" w:pos="287"/>
              </w:tabs>
              <w:spacing w:line="252" w:lineRule="auto"/>
              <w:jc w:val="both"/>
            </w:pPr>
          </w:p>
        </w:tc>
        <w:tc>
          <w:tcPr>
            <w:tcW w:w="4820" w:type="dxa"/>
          </w:tcPr>
          <w:p w:rsidR="00DD2DC0" w:rsidRPr="00D21B55" w:rsidRDefault="00DD2DC0" w:rsidP="00BA38A1">
            <w:pPr>
              <w:spacing w:line="252" w:lineRule="auto"/>
              <w:jc w:val="both"/>
            </w:pPr>
            <w:r>
              <w:rPr>
                <w:b/>
              </w:rPr>
              <w:t>6</w:t>
            </w:r>
            <w:r w:rsidRPr="00D21B55">
              <w:t xml:space="preserve">. </w:t>
            </w:r>
            <w:r w:rsidRPr="00D21B55">
              <w:rPr>
                <w:b/>
              </w:rPr>
              <w:t>Capacity Building of Social Workers:</w:t>
            </w:r>
            <w:r w:rsidRPr="00D21B55">
              <w:t xml:space="preserve"> MoLSA and humanitarian partners to gain a greater understanding of the limitations of social workers, </w:t>
            </w:r>
            <w:r>
              <w:t xml:space="preserve">through a capacity needs assessment </w:t>
            </w:r>
            <w:r w:rsidRPr="00D21B55">
              <w:t>with more specific recommendations on capacity building options. Scope opportunities for the humanitarian community</w:t>
            </w:r>
            <w:r>
              <w:t>, including Protection Cluster and relevant sub-Clusters,</w:t>
            </w:r>
            <w:r w:rsidRPr="00D21B55">
              <w:t xml:space="preserve"> to contribute to this outcome, particularly on key protection issues and </w:t>
            </w:r>
            <w:r>
              <w:t>input into</w:t>
            </w:r>
            <w:r w:rsidRPr="00D21B55">
              <w:t xml:space="preserve"> case management and referral processes.  </w:t>
            </w:r>
          </w:p>
          <w:p w:rsidR="00DD2DC0" w:rsidRDefault="00DD2DC0" w:rsidP="00BA38A1">
            <w:pPr>
              <w:rPr>
                <w:b/>
              </w:rPr>
            </w:pPr>
          </w:p>
        </w:tc>
        <w:tc>
          <w:tcPr>
            <w:tcW w:w="2410" w:type="dxa"/>
          </w:tcPr>
          <w:p w:rsidR="00DD2DC0" w:rsidRPr="00DE67D2" w:rsidRDefault="00DD2DC0" w:rsidP="00BA38A1">
            <w:pPr>
              <w:jc w:val="both"/>
            </w:pPr>
            <w:r w:rsidRPr="00DE67D2">
              <w:rPr>
                <w:b/>
              </w:rPr>
              <w:t xml:space="preserve">By 31 </w:t>
            </w:r>
            <w:r>
              <w:rPr>
                <w:b/>
              </w:rPr>
              <w:t>December</w:t>
            </w:r>
            <w:r w:rsidRPr="00DE67D2">
              <w:rPr>
                <w:b/>
              </w:rPr>
              <w:t xml:space="preserve"> 2018 </w:t>
            </w:r>
          </w:p>
          <w:p w:rsidR="00DD2DC0" w:rsidRDefault="00DD2DC0" w:rsidP="00BA38A1">
            <w:pPr>
              <w:jc w:val="both"/>
              <w:rPr>
                <w:i/>
              </w:rPr>
            </w:pPr>
            <w:r>
              <w:rPr>
                <w:i/>
              </w:rPr>
              <w:t>UNICEF (Farah) to lead in coordination with WB CM Practice.</w:t>
            </w:r>
          </w:p>
          <w:p w:rsidR="00DD2DC0" w:rsidRDefault="00DD2DC0" w:rsidP="00BA38A1">
            <w:pPr>
              <w:jc w:val="both"/>
              <w:rPr>
                <w:i/>
              </w:rPr>
            </w:pPr>
          </w:p>
          <w:p w:rsidR="00DD2DC0" w:rsidRDefault="00DD2DC0" w:rsidP="00BA38A1">
            <w:pPr>
              <w:jc w:val="both"/>
              <w:rPr>
                <w:i/>
              </w:rPr>
            </w:pPr>
            <w:r>
              <w:rPr>
                <w:i/>
              </w:rPr>
              <w:t>Note: consider inviting UNFPA and Protection Cluster leads.</w:t>
            </w:r>
          </w:p>
          <w:p w:rsidR="00DD2DC0" w:rsidRPr="00962E83" w:rsidRDefault="00DD2DC0" w:rsidP="00D426BC">
            <w:pPr>
              <w:jc w:val="both"/>
              <w:rPr>
                <w:b/>
                <w:i/>
              </w:rPr>
            </w:pPr>
          </w:p>
        </w:tc>
      </w:tr>
      <w:tr w:rsidR="00DD2DC0" w:rsidTr="00463B56">
        <w:trPr>
          <w:trHeight w:val="5128"/>
        </w:trPr>
        <w:tc>
          <w:tcPr>
            <w:tcW w:w="6912" w:type="dxa"/>
            <w:vMerge/>
            <w:shd w:val="clear" w:color="auto" w:fill="DEEAF6" w:themeFill="accent1" w:themeFillTint="33"/>
          </w:tcPr>
          <w:p w:rsidR="00DD2DC0" w:rsidRDefault="00DD2DC0" w:rsidP="00BA38A1">
            <w:pPr>
              <w:tabs>
                <w:tab w:val="left" w:pos="287"/>
              </w:tabs>
              <w:spacing w:line="252" w:lineRule="auto"/>
              <w:jc w:val="both"/>
            </w:pPr>
          </w:p>
        </w:tc>
        <w:tc>
          <w:tcPr>
            <w:tcW w:w="4820" w:type="dxa"/>
          </w:tcPr>
          <w:p w:rsidR="00DD2DC0" w:rsidRPr="00A34FFB" w:rsidRDefault="00DD2DC0" w:rsidP="00A34FFB">
            <w:pPr>
              <w:jc w:val="both"/>
              <w:rPr>
                <w:b/>
              </w:rPr>
            </w:pPr>
            <w:r>
              <w:rPr>
                <w:b/>
              </w:rPr>
              <w:t>7. Advocate for increased linkages and referral processes beyond cash and SPN:</w:t>
            </w:r>
            <w:r>
              <w:t xml:space="preserve"> </w:t>
            </w:r>
            <w:r>
              <w:rPr>
                <w:b/>
              </w:rPr>
              <w:t xml:space="preserve"> </w:t>
            </w:r>
            <w:r w:rsidRPr="00A34FFB">
              <w:t>Share CWG and SPN experiences more broadly to advocate for connections between other parts of humanitarian assistance and protection services to the social welfare, health, public works, training and employm</w:t>
            </w:r>
            <w:r>
              <w:t>ent services of MoLSA. Use the Social P</w:t>
            </w:r>
            <w:r w:rsidRPr="00A34FFB">
              <w:t xml:space="preserve">rotection </w:t>
            </w:r>
            <w:r>
              <w:t>F</w:t>
            </w:r>
            <w:r w:rsidRPr="00A34FFB">
              <w:t>orum and Inter-Cluster Coordination Group (ICCG) as platforms for these discussions</w:t>
            </w:r>
            <w:r>
              <w:t>, as well as the UNCT Policy Engagement and Reform Working Group</w:t>
            </w:r>
            <w:r w:rsidRPr="00A34FFB">
              <w:t xml:space="preserve">. </w:t>
            </w:r>
          </w:p>
          <w:p w:rsidR="00DD2DC0" w:rsidRDefault="00DD2DC0" w:rsidP="00BA38A1">
            <w:pPr>
              <w:rPr>
                <w:b/>
                <w:bCs/>
              </w:rPr>
            </w:pPr>
            <w:r>
              <w:rPr>
                <w:b/>
              </w:rPr>
              <w:t xml:space="preserve"> </w:t>
            </w:r>
          </w:p>
          <w:p w:rsidR="00DD2DC0" w:rsidRDefault="00DD2DC0" w:rsidP="00482CBC">
            <w:pPr>
              <w:spacing w:line="252" w:lineRule="auto"/>
              <w:jc w:val="both"/>
              <w:rPr>
                <w:b/>
              </w:rPr>
            </w:pPr>
          </w:p>
        </w:tc>
        <w:tc>
          <w:tcPr>
            <w:tcW w:w="2410" w:type="dxa"/>
          </w:tcPr>
          <w:p w:rsidR="00DD2DC0" w:rsidRDefault="00DD2DC0" w:rsidP="00A34FFB">
            <w:pPr>
              <w:jc w:val="both"/>
              <w:rPr>
                <w:i/>
              </w:rPr>
            </w:pPr>
            <w:r w:rsidRPr="00962E83">
              <w:rPr>
                <w:b/>
                <w:i/>
              </w:rPr>
              <w:t xml:space="preserve">By </w:t>
            </w:r>
            <w:r>
              <w:rPr>
                <w:b/>
                <w:i/>
              </w:rPr>
              <w:t>XX 2018</w:t>
            </w:r>
            <w:r w:rsidRPr="00962E83">
              <w:rPr>
                <w:b/>
                <w:i/>
              </w:rPr>
              <w:t xml:space="preserve"> </w:t>
            </w:r>
          </w:p>
          <w:p w:rsidR="00DD2DC0" w:rsidRPr="00CF668E" w:rsidRDefault="00DD2DC0" w:rsidP="00CF668E">
            <w:pPr>
              <w:jc w:val="both"/>
              <w:rPr>
                <w:i/>
              </w:rPr>
            </w:pPr>
            <w:r>
              <w:rPr>
                <w:i/>
              </w:rPr>
              <w:t xml:space="preserve">Social Protection Forum with ICCG input. </w:t>
            </w:r>
          </w:p>
          <w:p w:rsidR="00DD2DC0" w:rsidRDefault="00DD2DC0" w:rsidP="00A34FFB">
            <w:pPr>
              <w:jc w:val="both"/>
              <w:rPr>
                <w:i/>
              </w:rPr>
            </w:pPr>
          </w:p>
          <w:p w:rsidR="00DD2DC0" w:rsidRDefault="00DD2DC0" w:rsidP="00A34FFB">
            <w:pPr>
              <w:jc w:val="both"/>
              <w:rPr>
                <w:i/>
              </w:rPr>
            </w:pPr>
          </w:p>
          <w:p w:rsidR="00DD2DC0" w:rsidRDefault="00DD2DC0" w:rsidP="00A34FFB">
            <w:pPr>
              <w:jc w:val="both"/>
              <w:rPr>
                <w:i/>
              </w:rPr>
            </w:pPr>
            <w:r w:rsidRPr="00F51F5B">
              <w:rPr>
                <w:i/>
              </w:rPr>
              <w:t>Note:</w:t>
            </w:r>
            <w:r>
              <w:rPr>
                <w:i/>
              </w:rPr>
              <w:t xml:space="preserve"> Invite</w:t>
            </w:r>
            <w:r w:rsidRPr="00F51F5B">
              <w:rPr>
                <w:i/>
              </w:rPr>
              <w:t xml:space="preserve"> </w:t>
            </w:r>
            <w:r>
              <w:rPr>
                <w:i/>
              </w:rPr>
              <w:t>Protection Cluster and Community Returns Centres (CRCs).</w:t>
            </w:r>
          </w:p>
          <w:p w:rsidR="00DD2DC0" w:rsidRPr="007354C7" w:rsidRDefault="00DD2DC0" w:rsidP="007354C7">
            <w:pPr>
              <w:jc w:val="both"/>
              <w:rPr>
                <w:i/>
                <w:strike/>
              </w:rPr>
            </w:pPr>
            <w:r>
              <w:rPr>
                <w:b/>
                <w:i/>
              </w:rPr>
              <w:t xml:space="preserve"> </w:t>
            </w:r>
          </w:p>
        </w:tc>
      </w:tr>
    </w:tbl>
    <w:p w:rsidR="006E48A7" w:rsidRPr="00FA4155" w:rsidRDefault="006E48A7" w:rsidP="00BA38A1"/>
    <w:sectPr w:rsidR="006E48A7" w:rsidRPr="00FA4155" w:rsidSect="006E39E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D5F" w:rsidRDefault="00162D5F" w:rsidP="00036D2E">
      <w:pPr>
        <w:spacing w:after="0" w:line="240" w:lineRule="auto"/>
      </w:pPr>
      <w:r>
        <w:separator/>
      </w:r>
    </w:p>
  </w:endnote>
  <w:endnote w:type="continuationSeparator" w:id="0">
    <w:p w:rsidR="00162D5F" w:rsidRDefault="00162D5F" w:rsidP="00036D2E">
      <w:pPr>
        <w:spacing w:after="0" w:line="240" w:lineRule="auto"/>
      </w:pPr>
      <w:r>
        <w:continuationSeparator/>
      </w:r>
    </w:p>
  </w:endnote>
  <w:endnote w:type="continuationNotice" w:id="1">
    <w:p w:rsidR="00162D5F" w:rsidRDefault="00162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B9" w:rsidRDefault="007F0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67" w:rsidRDefault="0051234D">
    <w:pPr>
      <w:pStyle w:val="Footer"/>
    </w:pPr>
    <w:r>
      <w:t xml:space="preserve">Final </w:t>
    </w:r>
    <w:r w:rsidR="007F03B9">
      <w:t xml:space="preserve">DRAFT English </w:t>
    </w:r>
    <w:r>
      <w:t xml:space="preserve">Version for </w:t>
    </w:r>
    <w:r w:rsidR="007F03B9">
      <w:t xml:space="preserve">Arabic </w:t>
    </w:r>
    <w:r>
      <w:t>Translation</w:t>
    </w:r>
    <w:r w:rsidR="007F03B9">
      <w:t xml:space="preserve"> (12 Sept 2018). Next step: Arabic version to be shared with MOLSA for feedback.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B9" w:rsidRDefault="007F0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D5F" w:rsidRDefault="00162D5F" w:rsidP="00036D2E">
      <w:pPr>
        <w:spacing w:after="0" w:line="240" w:lineRule="auto"/>
      </w:pPr>
      <w:r>
        <w:separator/>
      </w:r>
    </w:p>
  </w:footnote>
  <w:footnote w:type="continuationSeparator" w:id="0">
    <w:p w:rsidR="00162D5F" w:rsidRDefault="00162D5F" w:rsidP="00036D2E">
      <w:pPr>
        <w:spacing w:after="0" w:line="240" w:lineRule="auto"/>
      </w:pPr>
      <w:r>
        <w:continuationSeparator/>
      </w:r>
    </w:p>
  </w:footnote>
  <w:footnote w:type="continuationNotice" w:id="1">
    <w:p w:rsidR="00162D5F" w:rsidRDefault="00162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B9" w:rsidRDefault="007F0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B9" w:rsidRDefault="007F0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B9" w:rsidRDefault="007F0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905"/>
    <w:multiLevelType w:val="hybridMultilevel"/>
    <w:tmpl w:val="259C3EB2"/>
    <w:lvl w:ilvl="0" w:tplc="1A5CABEC">
      <w:start w:val="1"/>
      <w:numFmt w:val="decimal"/>
      <w:lvlText w:val="%1."/>
      <w:lvlJc w:val="left"/>
      <w:pPr>
        <w:ind w:left="365" w:hanging="360"/>
      </w:pPr>
      <w:rPr>
        <w:rFonts w:hint="default"/>
        <w:b/>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 w15:restartNumberingAfterBreak="0">
    <w:nsid w:val="11EF1FC4"/>
    <w:multiLevelType w:val="hybridMultilevel"/>
    <w:tmpl w:val="834A1AF6"/>
    <w:lvl w:ilvl="0" w:tplc="D7B26BC6">
      <w:start w:val="1"/>
      <w:numFmt w:val="decimal"/>
      <w:lvlText w:val="%1."/>
      <w:lvlJc w:val="left"/>
      <w:pPr>
        <w:ind w:left="360" w:hanging="360"/>
      </w:pPr>
      <w:rPr>
        <w:rFonts w:asciiTheme="minorHAnsi" w:eastAsiaTheme="minorHAnsi" w:hAnsiTheme="minorHAnsi" w:cstheme="minorBidi"/>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A2DAD"/>
    <w:multiLevelType w:val="hybridMultilevel"/>
    <w:tmpl w:val="8DC2E280"/>
    <w:lvl w:ilvl="0" w:tplc="C87843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02D1C"/>
    <w:multiLevelType w:val="multilevel"/>
    <w:tmpl w:val="9A703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F231E"/>
    <w:multiLevelType w:val="hybridMultilevel"/>
    <w:tmpl w:val="EA74E53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5" w15:restartNumberingAfterBreak="0">
    <w:nsid w:val="29316906"/>
    <w:multiLevelType w:val="hybridMultilevel"/>
    <w:tmpl w:val="C7545AA0"/>
    <w:lvl w:ilvl="0" w:tplc="860E3408">
      <w:start w:val="1"/>
      <w:numFmt w:val="decimal"/>
      <w:lvlText w:val="%1."/>
      <w:lvlJc w:val="left"/>
      <w:pPr>
        <w:ind w:left="720" w:hanging="360"/>
      </w:pPr>
      <w:rPr>
        <w:rFonts w:asciiTheme="minorHAnsi" w:eastAsiaTheme="minorHAnsi" w:hAnsiTheme="minorHAns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66A35"/>
    <w:multiLevelType w:val="multilevel"/>
    <w:tmpl w:val="84985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41A97"/>
    <w:multiLevelType w:val="multilevel"/>
    <w:tmpl w:val="80A23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D2CC3"/>
    <w:multiLevelType w:val="hybridMultilevel"/>
    <w:tmpl w:val="5130133E"/>
    <w:lvl w:ilvl="0" w:tplc="860E3408">
      <w:start w:val="1"/>
      <w:numFmt w:val="decimal"/>
      <w:lvlText w:val="%1."/>
      <w:lvlJc w:val="left"/>
      <w:pPr>
        <w:ind w:left="360" w:hanging="360"/>
      </w:pPr>
      <w:rPr>
        <w:rFonts w:asciiTheme="minorHAnsi" w:eastAsiaTheme="minorHAns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D2DF3"/>
    <w:multiLevelType w:val="hybridMultilevel"/>
    <w:tmpl w:val="500E8A76"/>
    <w:lvl w:ilvl="0" w:tplc="08090001">
      <w:start w:val="1"/>
      <w:numFmt w:val="bullet"/>
      <w:lvlText w:val=""/>
      <w:lvlJc w:val="left"/>
      <w:pPr>
        <w:ind w:left="647" w:hanging="360"/>
      </w:pPr>
      <w:rPr>
        <w:rFonts w:ascii="Symbol" w:hAnsi="Symbol" w:hint="default"/>
        <w:b w:val="0"/>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10" w15:restartNumberingAfterBreak="0">
    <w:nsid w:val="3F9D2FF9"/>
    <w:multiLevelType w:val="multilevel"/>
    <w:tmpl w:val="2B2C8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BA6C27"/>
    <w:multiLevelType w:val="hybridMultilevel"/>
    <w:tmpl w:val="DDCC96C4"/>
    <w:lvl w:ilvl="0" w:tplc="D7B26BC6">
      <w:start w:val="1"/>
      <w:numFmt w:val="decimal"/>
      <w:lvlText w:val="%1."/>
      <w:lvlJc w:val="left"/>
      <w:pPr>
        <w:ind w:left="360" w:hanging="360"/>
      </w:pPr>
      <w:rPr>
        <w:rFonts w:asciiTheme="minorHAnsi" w:eastAsiaTheme="minorHAnsi" w:hAnsiTheme="minorHAnsi" w:cstheme="minorBidi"/>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022973"/>
    <w:multiLevelType w:val="hybridMultilevel"/>
    <w:tmpl w:val="9A9AA9F2"/>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2B1CB5"/>
    <w:multiLevelType w:val="hybridMultilevel"/>
    <w:tmpl w:val="E7D80A70"/>
    <w:lvl w:ilvl="0" w:tplc="DFB2295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03E30"/>
    <w:multiLevelType w:val="hybridMultilevel"/>
    <w:tmpl w:val="6736DB80"/>
    <w:lvl w:ilvl="0" w:tplc="93F2531A">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0506F6"/>
    <w:multiLevelType w:val="hybridMultilevel"/>
    <w:tmpl w:val="0A3C114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97252D"/>
    <w:multiLevelType w:val="hybridMultilevel"/>
    <w:tmpl w:val="05C84582"/>
    <w:lvl w:ilvl="0" w:tplc="2DEAE4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712D33"/>
    <w:multiLevelType w:val="hybridMultilevel"/>
    <w:tmpl w:val="4F64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C3DB1"/>
    <w:multiLevelType w:val="multilevel"/>
    <w:tmpl w:val="C9B23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6102CF"/>
    <w:multiLevelType w:val="hybridMultilevel"/>
    <w:tmpl w:val="EA0EA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97C4B"/>
    <w:multiLevelType w:val="hybridMultilevel"/>
    <w:tmpl w:val="E7D80A70"/>
    <w:lvl w:ilvl="0" w:tplc="DFB2295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B529B"/>
    <w:multiLevelType w:val="hybridMultilevel"/>
    <w:tmpl w:val="8188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16A6E"/>
    <w:multiLevelType w:val="multilevel"/>
    <w:tmpl w:val="963A9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DA7C68"/>
    <w:multiLevelType w:val="multilevel"/>
    <w:tmpl w:val="F49497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FB36ED8"/>
    <w:multiLevelType w:val="hybridMultilevel"/>
    <w:tmpl w:val="834A1AF6"/>
    <w:lvl w:ilvl="0" w:tplc="D7B26BC6">
      <w:start w:val="1"/>
      <w:numFmt w:val="decimal"/>
      <w:lvlText w:val="%1."/>
      <w:lvlJc w:val="left"/>
      <w:pPr>
        <w:ind w:left="360" w:hanging="360"/>
      </w:pPr>
      <w:rPr>
        <w:rFonts w:asciiTheme="minorHAnsi" w:eastAsiaTheme="minorHAnsi" w:hAnsiTheme="minorHAnsi" w:cstheme="minorBidi"/>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0A19F3"/>
    <w:multiLevelType w:val="hybridMultilevel"/>
    <w:tmpl w:val="834A1AF6"/>
    <w:lvl w:ilvl="0" w:tplc="D7B26BC6">
      <w:start w:val="1"/>
      <w:numFmt w:val="decimal"/>
      <w:lvlText w:val="%1."/>
      <w:lvlJc w:val="left"/>
      <w:pPr>
        <w:ind w:left="360" w:hanging="360"/>
      </w:pPr>
      <w:rPr>
        <w:rFonts w:asciiTheme="minorHAnsi" w:eastAsiaTheme="minorHAnsi" w:hAnsiTheme="minorHAnsi" w:cstheme="minorBidi"/>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C76A8F"/>
    <w:multiLevelType w:val="hybridMultilevel"/>
    <w:tmpl w:val="904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A53D2"/>
    <w:multiLevelType w:val="multilevel"/>
    <w:tmpl w:val="E9C23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482D4C"/>
    <w:multiLevelType w:val="multilevel"/>
    <w:tmpl w:val="DAD24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71714F"/>
    <w:multiLevelType w:val="hybridMultilevel"/>
    <w:tmpl w:val="87C2B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26"/>
  </w:num>
  <w:num w:numId="8">
    <w:abstractNumId w:val="19"/>
  </w:num>
  <w:num w:numId="9">
    <w:abstractNumId w:val="8"/>
  </w:num>
  <w:num w:numId="10">
    <w:abstractNumId w:val="5"/>
  </w:num>
  <w:num w:numId="11">
    <w:abstractNumId w:val="9"/>
  </w:num>
  <w:num w:numId="12">
    <w:abstractNumId w:val="17"/>
  </w:num>
  <w:num w:numId="13">
    <w:abstractNumId w:val="21"/>
  </w:num>
  <w:num w:numId="14">
    <w:abstractNumId w:val="14"/>
  </w:num>
  <w:num w:numId="15">
    <w:abstractNumId w:val="12"/>
  </w:num>
  <w:num w:numId="16">
    <w:abstractNumId w:val="16"/>
  </w:num>
  <w:num w:numId="17">
    <w:abstractNumId w:val="4"/>
  </w:num>
  <w:num w:numId="18">
    <w:abstractNumId w:val="13"/>
  </w:num>
  <w:num w:numId="19">
    <w:abstractNumId w:val="20"/>
  </w:num>
  <w:num w:numId="20">
    <w:abstractNumId w:val="2"/>
  </w:num>
  <w:num w:numId="21">
    <w:abstractNumId w:val="0"/>
  </w:num>
  <w:num w:numId="22">
    <w:abstractNumId w:val="10"/>
  </w:num>
  <w:num w:numId="23">
    <w:abstractNumId w:val="18"/>
  </w:num>
  <w:num w:numId="24">
    <w:abstractNumId w:val="6"/>
  </w:num>
  <w:num w:numId="25">
    <w:abstractNumId w:val="28"/>
  </w:num>
  <w:num w:numId="26">
    <w:abstractNumId w:val="22"/>
  </w:num>
  <w:num w:numId="27">
    <w:abstractNumId w:val="27"/>
  </w:num>
  <w:num w:numId="28">
    <w:abstractNumId w:val="3"/>
  </w:num>
  <w:num w:numId="29">
    <w:abstractNumId w:val="7"/>
  </w:num>
  <w:num w:numId="30">
    <w:abstractNumId w:val="25"/>
  </w:num>
  <w:num w:numId="31">
    <w:abstractNumId w:val="1"/>
  </w:num>
  <w:num w:numId="32">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86"/>
    <w:rsid w:val="000040C3"/>
    <w:rsid w:val="000261BD"/>
    <w:rsid w:val="00036D2E"/>
    <w:rsid w:val="000655BF"/>
    <w:rsid w:val="00067D6F"/>
    <w:rsid w:val="0008082B"/>
    <w:rsid w:val="00082C4E"/>
    <w:rsid w:val="00083886"/>
    <w:rsid w:val="000A330F"/>
    <w:rsid w:val="000B1BB1"/>
    <w:rsid w:val="000B4904"/>
    <w:rsid w:val="000C7874"/>
    <w:rsid w:val="000E19CD"/>
    <w:rsid w:val="000E7A53"/>
    <w:rsid w:val="000F05D2"/>
    <w:rsid w:val="000F716E"/>
    <w:rsid w:val="00103CBC"/>
    <w:rsid w:val="00104EF1"/>
    <w:rsid w:val="001104E5"/>
    <w:rsid w:val="00111277"/>
    <w:rsid w:val="00125F88"/>
    <w:rsid w:val="00134F1F"/>
    <w:rsid w:val="001353CA"/>
    <w:rsid w:val="00136908"/>
    <w:rsid w:val="00142F60"/>
    <w:rsid w:val="00143E27"/>
    <w:rsid w:val="00155EFD"/>
    <w:rsid w:val="001628D7"/>
    <w:rsid w:val="00162D5F"/>
    <w:rsid w:val="00167F4A"/>
    <w:rsid w:val="00173130"/>
    <w:rsid w:val="001777BE"/>
    <w:rsid w:val="00187C28"/>
    <w:rsid w:val="001A4151"/>
    <w:rsid w:val="001A599D"/>
    <w:rsid w:val="001B0C02"/>
    <w:rsid w:val="001B7600"/>
    <w:rsid w:val="001C4999"/>
    <w:rsid w:val="001C575F"/>
    <w:rsid w:val="001C779B"/>
    <w:rsid w:val="001D56CF"/>
    <w:rsid w:val="001D6D2B"/>
    <w:rsid w:val="001D7A80"/>
    <w:rsid w:val="001E0CB9"/>
    <w:rsid w:val="001F4370"/>
    <w:rsid w:val="00202750"/>
    <w:rsid w:val="00215623"/>
    <w:rsid w:val="00215FD4"/>
    <w:rsid w:val="002173D9"/>
    <w:rsid w:val="002277C3"/>
    <w:rsid w:val="002353F2"/>
    <w:rsid w:val="0023584E"/>
    <w:rsid w:val="00255685"/>
    <w:rsid w:val="0025630F"/>
    <w:rsid w:val="0026132F"/>
    <w:rsid w:val="00261F2F"/>
    <w:rsid w:val="002621F7"/>
    <w:rsid w:val="00266CE9"/>
    <w:rsid w:val="00285885"/>
    <w:rsid w:val="00293B87"/>
    <w:rsid w:val="002944EC"/>
    <w:rsid w:val="002961A0"/>
    <w:rsid w:val="002B26E0"/>
    <w:rsid w:val="002C0713"/>
    <w:rsid w:val="002C3410"/>
    <w:rsid w:val="002C6074"/>
    <w:rsid w:val="002C6878"/>
    <w:rsid w:val="002C766A"/>
    <w:rsid w:val="002D641D"/>
    <w:rsid w:val="002E7732"/>
    <w:rsid w:val="002F723A"/>
    <w:rsid w:val="00304849"/>
    <w:rsid w:val="00307C2C"/>
    <w:rsid w:val="00320485"/>
    <w:rsid w:val="00320E32"/>
    <w:rsid w:val="00336FDC"/>
    <w:rsid w:val="00355EC1"/>
    <w:rsid w:val="003604FB"/>
    <w:rsid w:val="00363B46"/>
    <w:rsid w:val="003661C7"/>
    <w:rsid w:val="00377910"/>
    <w:rsid w:val="00391780"/>
    <w:rsid w:val="003A5488"/>
    <w:rsid w:val="003B0765"/>
    <w:rsid w:val="003D5787"/>
    <w:rsid w:val="003E03BF"/>
    <w:rsid w:val="003E13DD"/>
    <w:rsid w:val="003E1449"/>
    <w:rsid w:val="003F5E43"/>
    <w:rsid w:val="003F7048"/>
    <w:rsid w:val="00406C99"/>
    <w:rsid w:val="00414557"/>
    <w:rsid w:val="00421BC0"/>
    <w:rsid w:val="0042252B"/>
    <w:rsid w:val="00426FC7"/>
    <w:rsid w:val="004352D4"/>
    <w:rsid w:val="004359AA"/>
    <w:rsid w:val="00445A29"/>
    <w:rsid w:val="00450C5E"/>
    <w:rsid w:val="00454C1B"/>
    <w:rsid w:val="00461A42"/>
    <w:rsid w:val="00461D38"/>
    <w:rsid w:val="00462F38"/>
    <w:rsid w:val="00463B56"/>
    <w:rsid w:val="00482CBC"/>
    <w:rsid w:val="00486186"/>
    <w:rsid w:val="00487A98"/>
    <w:rsid w:val="004901E7"/>
    <w:rsid w:val="004C0B6C"/>
    <w:rsid w:val="004C1450"/>
    <w:rsid w:val="004F1454"/>
    <w:rsid w:val="004F2B10"/>
    <w:rsid w:val="004F53D2"/>
    <w:rsid w:val="004F5B26"/>
    <w:rsid w:val="004F60F8"/>
    <w:rsid w:val="00503667"/>
    <w:rsid w:val="00504906"/>
    <w:rsid w:val="00510057"/>
    <w:rsid w:val="0051234D"/>
    <w:rsid w:val="00524A82"/>
    <w:rsid w:val="0052638B"/>
    <w:rsid w:val="00547005"/>
    <w:rsid w:val="00554A51"/>
    <w:rsid w:val="0058642F"/>
    <w:rsid w:val="00586E74"/>
    <w:rsid w:val="00595EA3"/>
    <w:rsid w:val="005A0041"/>
    <w:rsid w:val="005A52D6"/>
    <w:rsid w:val="005B400F"/>
    <w:rsid w:val="005B58D2"/>
    <w:rsid w:val="005C596F"/>
    <w:rsid w:val="005C74C5"/>
    <w:rsid w:val="005D2636"/>
    <w:rsid w:val="005D306C"/>
    <w:rsid w:val="005D583E"/>
    <w:rsid w:val="005E1555"/>
    <w:rsid w:val="005E5AD3"/>
    <w:rsid w:val="005F26DC"/>
    <w:rsid w:val="005F4A22"/>
    <w:rsid w:val="00601AB6"/>
    <w:rsid w:val="00612440"/>
    <w:rsid w:val="00616F50"/>
    <w:rsid w:val="006227D9"/>
    <w:rsid w:val="006257E9"/>
    <w:rsid w:val="006338C0"/>
    <w:rsid w:val="006438D6"/>
    <w:rsid w:val="006573F6"/>
    <w:rsid w:val="00663197"/>
    <w:rsid w:val="00663226"/>
    <w:rsid w:val="0066498E"/>
    <w:rsid w:val="00672F72"/>
    <w:rsid w:val="00680877"/>
    <w:rsid w:val="006839E9"/>
    <w:rsid w:val="006A529C"/>
    <w:rsid w:val="006B0E94"/>
    <w:rsid w:val="006B138F"/>
    <w:rsid w:val="006B48B5"/>
    <w:rsid w:val="006C2AB1"/>
    <w:rsid w:val="006C7C59"/>
    <w:rsid w:val="006D33C2"/>
    <w:rsid w:val="006E39EB"/>
    <w:rsid w:val="006E48A7"/>
    <w:rsid w:val="006E4E8A"/>
    <w:rsid w:val="00702551"/>
    <w:rsid w:val="00704BC8"/>
    <w:rsid w:val="0071518C"/>
    <w:rsid w:val="00721B43"/>
    <w:rsid w:val="007354C7"/>
    <w:rsid w:val="0073681F"/>
    <w:rsid w:val="007378AE"/>
    <w:rsid w:val="00737AAA"/>
    <w:rsid w:val="00747C51"/>
    <w:rsid w:val="00753AF1"/>
    <w:rsid w:val="0075431C"/>
    <w:rsid w:val="0076029D"/>
    <w:rsid w:val="007609D4"/>
    <w:rsid w:val="007752C6"/>
    <w:rsid w:val="00775497"/>
    <w:rsid w:val="00790C34"/>
    <w:rsid w:val="007C25CE"/>
    <w:rsid w:val="007C71C9"/>
    <w:rsid w:val="007D71BD"/>
    <w:rsid w:val="007E7786"/>
    <w:rsid w:val="007F03B9"/>
    <w:rsid w:val="007F717F"/>
    <w:rsid w:val="0080371C"/>
    <w:rsid w:val="00812E37"/>
    <w:rsid w:val="00820762"/>
    <w:rsid w:val="008214B1"/>
    <w:rsid w:val="008269BB"/>
    <w:rsid w:val="00836A67"/>
    <w:rsid w:val="00842668"/>
    <w:rsid w:val="008557DD"/>
    <w:rsid w:val="00857632"/>
    <w:rsid w:val="00861A4B"/>
    <w:rsid w:val="00863420"/>
    <w:rsid w:val="00867506"/>
    <w:rsid w:val="0087324D"/>
    <w:rsid w:val="0088617F"/>
    <w:rsid w:val="00886A9E"/>
    <w:rsid w:val="00890C59"/>
    <w:rsid w:val="00891314"/>
    <w:rsid w:val="0089488A"/>
    <w:rsid w:val="00895940"/>
    <w:rsid w:val="00897A0B"/>
    <w:rsid w:val="00897C20"/>
    <w:rsid w:val="008A3869"/>
    <w:rsid w:val="008B0814"/>
    <w:rsid w:val="008B2966"/>
    <w:rsid w:val="008D3596"/>
    <w:rsid w:val="008D3F10"/>
    <w:rsid w:val="008E3E6C"/>
    <w:rsid w:val="008E4EF0"/>
    <w:rsid w:val="009016C7"/>
    <w:rsid w:val="00902643"/>
    <w:rsid w:val="009143AF"/>
    <w:rsid w:val="00914D19"/>
    <w:rsid w:val="00924F13"/>
    <w:rsid w:val="00943E77"/>
    <w:rsid w:val="009525CC"/>
    <w:rsid w:val="009526E8"/>
    <w:rsid w:val="00957AA5"/>
    <w:rsid w:val="0096134F"/>
    <w:rsid w:val="00962E83"/>
    <w:rsid w:val="009635ED"/>
    <w:rsid w:val="00967148"/>
    <w:rsid w:val="00974FCC"/>
    <w:rsid w:val="00997D0E"/>
    <w:rsid w:val="009A0B2A"/>
    <w:rsid w:val="009C6DFF"/>
    <w:rsid w:val="009D5B97"/>
    <w:rsid w:val="009D7E8A"/>
    <w:rsid w:val="009E158E"/>
    <w:rsid w:val="009E6C0A"/>
    <w:rsid w:val="009F5B01"/>
    <w:rsid w:val="009F5FCA"/>
    <w:rsid w:val="009F6B03"/>
    <w:rsid w:val="00A03C74"/>
    <w:rsid w:val="00A059B4"/>
    <w:rsid w:val="00A116EC"/>
    <w:rsid w:val="00A26CC2"/>
    <w:rsid w:val="00A27EC6"/>
    <w:rsid w:val="00A34FFB"/>
    <w:rsid w:val="00A37426"/>
    <w:rsid w:val="00A40FAB"/>
    <w:rsid w:val="00A45B6B"/>
    <w:rsid w:val="00A526D2"/>
    <w:rsid w:val="00A565CC"/>
    <w:rsid w:val="00A87EB7"/>
    <w:rsid w:val="00A97E49"/>
    <w:rsid w:val="00AA09BE"/>
    <w:rsid w:val="00AA76DD"/>
    <w:rsid w:val="00AC5991"/>
    <w:rsid w:val="00AD40E6"/>
    <w:rsid w:val="00AD457A"/>
    <w:rsid w:val="00AD5415"/>
    <w:rsid w:val="00AD6855"/>
    <w:rsid w:val="00AE6894"/>
    <w:rsid w:val="00AF2BE2"/>
    <w:rsid w:val="00B04E6F"/>
    <w:rsid w:val="00B0683C"/>
    <w:rsid w:val="00B26555"/>
    <w:rsid w:val="00B266AF"/>
    <w:rsid w:val="00B71A9B"/>
    <w:rsid w:val="00B841C1"/>
    <w:rsid w:val="00B8637F"/>
    <w:rsid w:val="00B90B87"/>
    <w:rsid w:val="00B971F4"/>
    <w:rsid w:val="00BA0636"/>
    <w:rsid w:val="00BA38A1"/>
    <w:rsid w:val="00BA5F8F"/>
    <w:rsid w:val="00BB0809"/>
    <w:rsid w:val="00BB14E7"/>
    <w:rsid w:val="00BB2635"/>
    <w:rsid w:val="00BB5161"/>
    <w:rsid w:val="00BB5C51"/>
    <w:rsid w:val="00BE0825"/>
    <w:rsid w:val="00BE150B"/>
    <w:rsid w:val="00BE1DF9"/>
    <w:rsid w:val="00BE5B83"/>
    <w:rsid w:val="00BF09DC"/>
    <w:rsid w:val="00BF4CC5"/>
    <w:rsid w:val="00C0019F"/>
    <w:rsid w:val="00C07E54"/>
    <w:rsid w:val="00C1532B"/>
    <w:rsid w:val="00C324E5"/>
    <w:rsid w:val="00C47EE1"/>
    <w:rsid w:val="00C542EF"/>
    <w:rsid w:val="00C565A4"/>
    <w:rsid w:val="00C624D1"/>
    <w:rsid w:val="00C76359"/>
    <w:rsid w:val="00C824A0"/>
    <w:rsid w:val="00C83B21"/>
    <w:rsid w:val="00C94F43"/>
    <w:rsid w:val="00CA547F"/>
    <w:rsid w:val="00CB104A"/>
    <w:rsid w:val="00CB498B"/>
    <w:rsid w:val="00CC404A"/>
    <w:rsid w:val="00CC6386"/>
    <w:rsid w:val="00CD2AE3"/>
    <w:rsid w:val="00CE65AA"/>
    <w:rsid w:val="00CE6B1E"/>
    <w:rsid w:val="00CF2603"/>
    <w:rsid w:val="00CF3CA6"/>
    <w:rsid w:val="00CF668E"/>
    <w:rsid w:val="00D000B9"/>
    <w:rsid w:val="00D019BE"/>
    <w:rsid w:val="00D101D1"/>
    <w:rsid w:val="00D113DF"/>
    <w:rsid w:val="00D1263B"/>
    <w:rsid w:val="00D12F30"/>
    <w:rsid w:val="00D134C4"/>
    <w:rsid w:val="00D21B55"/>
    <w:rsid w:val="00D305EE"/>
    <w:rsid w:val="00D30CE3"/>
    <w:rsid w:val="00D353D6"/>
    <w:rsid w:val="00D40387"/>
    <w:rsid w:val="00D426BC"/>
    <w:rsid w:val="00D47550"/>
    <w:rsid w:val="00D57396"/>
    <w:rsid w:val="00D639D1"/>
    <w:rsid w:val="00D6573B"/>
    <w:rsid w:val="00D763E9"/>
    <w:rsid w:val="00D86EA3"/>
    <w:rsid w:val="00DA059D"/>
    <w:rsid w:val="00DA06F6"/>
    <w:rsid w:val="00DA2203"/>
    <w:rsid w:val="00DA236D"/>
    <w:rsid w:val="00DB1EC9"/>
    <w:rsid w:val="00DB7B2E"/>
    <w:rsid w:val="00DC5E26"/>
    <w:rsid w:val="00DD2DC0"/>
    <w:rsid w:val="00DD4EFC"/>
    <w:rsid w:val="00DE67D2"/>
    <w:rsid w:val="00DE7A14"/>
    <w:rsid w:val="00DF4BB3"/>
    <w:rsid w:val="00E01327"/>
    <w:rsid w:val="00E033CD"/>
    <w:rsid w:val="00E14FAB"/>
    <w:rsid w:val="00E20B02"/>
    <w:rsid w:val="00E33776"/>
    <w:rsid w:val="00E34C25"/>
    <w:rsid w:val="00E4473D"/>
    <w:rsid w:val="00E55ADD"/>
    <w:rsid w:val="00E671E6"/>
    <w:rsid w:val="00E769E8"/>
    <w:rsid w:val="00E82313"/>
    <w:rsid w:val="00E9269B"/>
    <w:rsid w:val="00E94FC8"/>
    <w:rsid w:val="00EA6D87"/>
    <w:rsid w:val="00EB2885"/>
    <w:rsid w:val="00EB2C73"/>
    <w:rsid w:val="00EC1C26"/>
    <w:rsid w:val="00EC1FF5"/>
    <w:rsid w:val="00EC4173"/>
    <w:rsid w:val="00ED1AE3"/>
    <w:rsid w:val="00ED1E34"/>
    <w:rsid w:val="00EE4742"/>
    <w:rsid w:val="00F071EF"/>
    <w:rsid w:val="00F25494"/>
    <w:rsid w:val="00F336A3"/>
    <w:rsid w:val="00F40677"/>
    <w:rsid w:val="00F4474B"/>
    <w:rsid w:val="00F50948"/>
    <w:rsid w:val="00F51F5B"/>
    <w:rsid w:val="00F575DB"/>
    <w:rsid w:val="00F63538"/>
    <w:rsid w:val="00F904BB"/>
    <w:rsid w:val="00F969A9"/>
    <w:rsid w:val="00FA4155"/>
    <w:rsid w:val="00FA6303"/>
    <w:rsid w:val="00FA7115"/>
    <w:rsid w:val="00FB4AF0"/>
    <w:rsid w:val="00FB7691"/>
    <w:rsid w:val="00FD1E84"/>
    <w:rsid w:val="00FD54BE"/>
    <w:rsid w:val="00FD7EA3"/>
    <w:rsid w:val="00FE4FC3"/>
    <w:rsid w:val="00FE7E0B"/>
    <w:rsid w:val="00FF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AE7A6-D97F-4C9F-AD35-1B2D6F91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1F"/>
    <w:pPr>
      <w:ind w:left="720"/>
      <w:contextualSpacing/>
    </w:pPr>
  </w:style>
  <w:style w:type="table" w:styleId="TableGrid">
    <w:name w:val="Table Grid"/>
    <w:basedOn w:val="TableNormal"/>
    <w:uiPriority w:val="39"/>
    <w:rsid w:val="0013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C7C59"/>
    <w:rPr>
      <w:sz w:val="16"/>
      <w:szCs w:val="16"/>
    </w:rPr>
  </w:style>
  <w:style w:type="paragraph" w:styleId="CommentText">
    <w:name w:val="annotation text"/>
    <w:basedOn w:val="Normal"/>
    <w:link w:val="CommentTextChar"/>
    <w:uiPriority w:val="99"/>
    <w:unhideWhenUsed/>
    <w:rsid w:val="006C7C59"/>
    <w:pPr>
      <w:spacing w:line="240" w:lineRule="auto"/>
    </w:pPr>
    <w:rPr>
      <w:sz w:val="20"/>
      <w:szCs w:val="20"/>
    </w:rPr>
  </w:style>
  <w:style w:type="character" w:customStyle="1" w:styleId="CommentTextChar">
    <w:name w:val="Comment Text Char"/>
    <w:basedOn w:val="DefaultParagraphFont"/>
    <w:link w:val="CommentText"/>
    <w:uiPriority w:val="99"/>
    <w:rsid w:val="006C7C59"/>
    <w:rPr>
      <w:sz w:val="20"/>
      <w:szCs w:val="20"/>
    </w:rPr>
  </w:style>
  <w:style w:type="paragraph" w:styleId="CommentSubject">
    <w:name w:val="annotation subject"/>
    <w:basedOn w:val="CommentText"/>
    <w:next w:val="CommentText"/>
    <w:link w:val="CommentSubjectChar"/>
    <w:uiPriority w:val="99"/>
    <w:semiHidden/>
    <w:unhideWhenUsed/>
    <w:rsid w:val="006C7C59"/>
    <w:rPr>
      <w:b/>
      <w:bCs/>
    </w:rPr>
  </w:style>
  <w:style w:type="character" w:customStyle="1" w:styleId="CommentSubjectChar">
    <w:name w:val="Comment Subject Char"/>
    <w:basedOn w:val="CommentTextChar"/>
    <w:link w:val="CommentSubject"/>
    <w:uiPriority w:val="99"/>
    <w:semiHidden/>
    <w:rsid w:val="006C7C59"/>
    <w:rPr>
      <w:b/>
      <w:bCs/>
      <w:sz w:val="20"/>
      <w:szCs w:val="20"/>
    </w:rPr>
  </w:style>
  <w:style w:type="paragraph" w:styleId="BalloonText">
    <w:name w:val="Balloon Text"/>
    <w:basedOn w:val="Normal"/>
    <w:link w:val="BalloonTextChar"/>
    <w:uiPriority w:val="99"/>
    <w:semiHidden/>
    <w:unhideWhenUsed/>
    <w:rsid w:val="006C7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59"/>
    <w:rPr>
      <w:rFonts w:ascii="Segoe UI" w:hAnsi="Segoe UI" w:cs="Segoe UI"/>
      <w:sz w:val="18"/>
      <w:szCs w:val="18"/>
    </w:rPr>
  </w:style>
  <w:style w:type="paragraph" w:styleId="NormalWeb">
    <w:name w:val="Normal (Web)"/>
    <w:basedOn w:val="Normal"/>
    <w:uiPriority w:val="99"/>
    <w:semiHidden/>
    <w:unhideWhenUsed/>
    <w:rsid w:val="003661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6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2E"/>
  </w:style>
  <w:style w:type="paragraph" w:styleId="Footer">
    <w:name w:val="footer"/>
    <w:basedOn w:val="Normal"/>
    <w:link w:val="FooterChar"/>
    <w:uiPriority w:val="99"/>
    <w:unhideWhenUsed/>
    <w:rsid w:val="00036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2E"/>
  </w:style>
  <w:style w:type="paragraph" w:customStyle="1" w:styleId="Backtotop">
    <w:name w:val="Back to top"/>
    <w:basedOn w:val="Normal"/>
    <w:next w:val="Normal"/>
    <w:rsid w:val="003E13DD"/>
  </w:style>
  <w:style w:type="paragraph" w:styleId="PlainText">
    <w:name w:val="Plain Text"/>
    <w:basedOn w:val="Normal"/>
    <w:link w:val="PlainTextChar"/>
    <w:rsid w:val="00B71A9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71A9B"/>
    <w:rPr>
      <w:rFonts w:ascii="Courier New" w:eastAsia="Times New Roman" w:hAnsi="Courier New" w:cs="Times New Roman"/>
      <w:sz w:val="20"/>
      <w:szCs w:val="20"/>
    </w:rPr>
  </w:style>
  <w:style w:type="paragraph" w:styleId="Revision">
    <w:name w:val="Revision"/>
    <w:hidden/>
    <w:uiPriority w:val="99"/>
    <w:semiHidden/>
    <w:rsid w:val="00463B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112">
      <w:bodyDiv w:val="1"/>
      <w:marLeft w:val="0"/>
      <w:marRight w:val="0"/>
      <w:marTop w:val="0"/>
      <w:marBottom w:val="0"/>
      <w:divBdr>
        <w:top w:val="none" w:sz="0" w:space="0" w:color="auto"/>
        <w:left w:val="none" w:sz="0" w:space="0" w:color="auto"/>
        <w:bottom w:val="none" w:sz="0" w:space="0" w:color="auto"/>
        <w:right w:val="none" w:sz="0" w:space="0" w:color="auto"/>
      </w:divBdr>
    </w:div>
    <w:div w:id="300430721">
      <w:bodyDiv w:val="1"/>
      <w:marLeft w:val="0"/>
      <w:marRight w:val="0"/>
      <w:marTop w:val="0"/>
      <w:marBottom w:val="0"/>
      <w:divBdr>
        <w:top w:val="none" w:sz="0" w:space="0" w:color="auto"/>
        <w:left w:val="none" w:sz="0" w:space="0" w:color="auto"/>
        <w:bottom w:val="none" w:sz="0" w:space="0" w:color="auto"/>
        <w:right w:val="none" w:sz="0" w:space="0" w:color="auto"/>
      </w:divBdr>
    </w:div>
    <w:div w:id="362900273">
      <w:bodyDiv w:val="1"/>
      <w:marLeft w:val="0"/>
      <w:marRight w:val="0"/>
      <w:marTop w:val="0"/>
      <w:marBottom w:val="0"/>
      <w:divBdr>
        <w:top w:val="none" w:sz="0" w:space="0" w:color="auto"/>
        <w:left w:val="none" w:sz="0" w:space="0" w:color="auto"/>
        <w:bottom w:val="none" w:sz="0" w:space="0" w:color="auto"/>
        <w:right w:val="none" w:sz="0" w:space="0" w:color="auto"/>
      </w:divBdr>
    </w:div>
    <w:div w:id="697123082">
      <w:bodyDiv w:val="1"/>
      <w:marLeft w:val="0"/>
      <w:marRight w:val="0"/>
      <w:marTop w:val="0"/>
      <w:marBottom w:val="0"/>
      <w:divBdr>
        <w:top w:val="none" w:sz="0" w:space="0" w:color="auto"/>
        <w:left w:val="none" w:sz="0" w:space="0" w:color="auto"/>
        <w:bottom w:val="none" w:sz="0" w:space="0" w:color="auto"/>
        <w:right w:val="none" w:sz="0" w:space="0" w:color="auto"/>
      </w:divBdr>
    </w:div>
    <w:div w:id="1219777744">
      <w:bodyDiv w:val="1"/>
      <w:marLeft w:val="0"/>
      <w:marRight w:val="0"/>
      <w:marTop w:val="0"/>
      <w:marBottom w:val="0"/>
      <w:divBdr>
        <w:top w:val="none" w:sz="0" w:space="0" w:color="auto"/>
        <w:left w:val="none" w:sz="0" w:space="0" w:color="auto"/>
        <w:bottom w:val="none" w:sz="0" w:space="0" w:color="auto"/>
        <w:right w:val="none" w:sz="0" w:space="0" w:color="auto"/>
      </w:divBdr>
    </w:div>
    <w:div w:id="1279147547">
      <w:bodyDiv w:val="1"/>
      <w:marLeft w:val="0"/>
      <w:marRight w:val="0"/>
      <w:marTop w:val="0"/>
      <w:marBottom w:val="0"/>
      <w:divBdr>
        <w:top w:val="none" w:sz="0" w:space="0" w:color="auto"/>
        <w:left w:val="none" w:sz="0" w:space="0" w:color="auto"/>
        <w:bottom w:val="none" w:sz="0" w:space="0" w:color="auto"/>
        <w:right w:val="none" w:sz="0" w:space="0" w:color="auto"/>
      </w:divBdr>
    </w:div>
    <w:div w:id="1283684702">
      <w:bodyDiv w:val="1"/>
      <w:marLeft w:val="0"/>
      <w:marRight w:val="0"/>
      <w:marTop w:val="0"/>
      <w:marBottom w:val="0"/>
      <w:divBdr>
        <w:top w:val="none" w:sz="0" w:space="0" w:color="auto"/>
        <w:left w:val="none" w:sz="0" w:space="0" w:color="auto"/>
        <w:bottom w:val="none" w:sz="0" w:space="0" w:color="auto"/>
        <w:right w:val="none" w:sz="0" w:space="0" w:color="auto"/>
      </w:divBdr>
    </w:div>
    <w:div w:id="1682538475">
      <w:bodyDiv w:val="1"/>
      <w:marLeft w:val="0"/>
      <w:marRight w:val="0"/>
      <w:marTop w:val="0"/>
      <w:marBottom w:val="0"/>
      <w:divBdr>
        <w:top w:val="none" w:sz="0" w:space="0" w:color="auto"/>
        <w:left w:val="none" w:sz="0" w:space="0" w:color="auto"/>
        <w:bottom w:val="none" w:sz="0" w:space="0" w:color="auto"/>
        <w:right w:val="none" w:sz="0" w:space="0" w:color="auto"/>
      </w:divBdr>
    </w:div>
    <w:div w:id="1852137503">
      <w:bodyDiv w:val="1"/>
      <w:marLeft w:val="0"/>
      <w:marRight w:val="0"/>
      <w:marTop w:val="0"/>
      <w:marBottom w:val="0"/>
      <w:divBdr>
        <w:top w:val="none" w:sz="0" w:space="0" w:color="auto"/>
        <w:left w:val="none" w:sz="0" w:space="0" w:color="auto"/>
        <w:bottom w:val="none" w:sz="0" w:space="0" w:color="auto"/>
        <w:right w:val="none" w:sz="0" w:space="0" w:color="auto"/>
      </w:divBdr>
    </w:div>
    <w:div w:id="2030056988">
      <w:bodyDiv w:val="1"/>
      <w:marLeft w:val="0"/>
      <w:marRight w:val="0"/>
      <w:marTop w:val="0"/>
      <w:marBottom w:val="0"/>
      <w:divBdr>
        <w:top w:val="none" w:sz="0" w:space="0" w:color="auto"/>
        <w:left w:val="none" w:sz="0" w:space="0" w:color="auto"/>
        <w:bottom w:val="none" w:sz="0" w:space="0" w:color="auto"/>
        <w:right w:val="none" w:sz="0" w:space="0" w:color="auto"/>
      </w:divBdr>
    </w:div>
    <w:div w:id="21184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4" ma:contentTypeDescription="Create a new document." ma:contentTypeScope="" ma:versionID="194893739f9cf8c03ae95e02ebd9a4c4">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5b4141196da17e620d4ce624d82c27e8"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unding agreed for April 20 - March 21"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documentManagement>
</p:properties>
</file>

<file path=customXml/itemProps1.xml><?xml version="1.0" encoding="utf-8"?>
<ds:datastoreItem xmlns:ds="http://schemas.openxmlformats.org/officeDocument/2006/customXml" ds:itemID="{FF23AB88-DCAA-45C9-B6B4-7B332F700964}">
  <ds:schemaRefs>
    <ds:schemaRef ds:uri="http://schemas.openxmlformats.org/officeDocument/2006/bibliography"/>
  </ds:schemaRefs>
</ds:datastoreItem>
</file>

<file path=customXml/itemProps2.xml><?xml version="1.0" encoding="utf-8"?>
<ds:datastoreItem xmlns:ds="http://schemas.openxmlformats.org/officeDocument/2006/customXml" ds:itemID="{6952C173-6276-4E18-ACF6-DEC039B8D000}"/>
</file>

<file path=customXml/itemProps3.xml><?xml version="1.0" encoding="utf-8"?>
<ds:datastoreItem xmlns:ds="http://schemas.openxmlformats.org/officeDocument/2006/customXml" ds:itemID="{0EFA8943-6689-4049-A687-7388021C1267}"/>
</file>

<file path=customXml/itemProps4.xml><?xml version="1.0" encoding="utf-8"?>
<ds:datastoreItem xmlns:ds="http://schemas.openxmlformats.org/officeDocument/2006/customXml" ds:itemID="{E2F7EC2C-4C5F-4F92-A69E-E966B5019415}"/>
</file>

<file path=docProps/app.xml><?xml version="1.0" encoding="utf-8"?>
<Properties xmlns="http://schemas.openxmlformats.org/officeDocument/2006/extended-properties" xmlns:vt="http://schemas.openxmlformats.org/officeDocument/2006/docPropsVTypes">
  <Template>Normal</Template>
  <TotalTime>0</TotalTime>
  <Pages>9</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Gerlach</dc:creator>
  <cp:lastModifiedBy>Oliver Westerman</cp:lastModifiedBy>
  <cp:revision>2</cp:revision>
  <dcterms:created xsi:type="dcterms:W3CDTF">2018-11-11T13:14:00Z</dcterms:created>
  <dcterms:modified xsi:type="dcterms:W3CDTF">2018-11-11T13:14:00Z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