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EC" w:rsidRDefault="00DC2A01" w:rsidP="00954AEC">
      <w:pPr>
        <w:widowControl/>
        <w:kinsoku/>
        <w:overflowPunct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bookmarkStart w:id="0" w:name="_GoBack"/>
      <w:bookmarkEnd w:id="0"/>
      <w:r w:rsidRPr="002E2737">
        <w:rPr>
          <w:rFonts w:asciiTheme="minorHAnsi" w:hAnsiTheme="minorHAnsi"/>
          <w:sz w:val="20"/>
          <w:szCs w:val="20"/>
          <w:lang w:val="en-GB"/>
        </w:rPr>
        <w:t>This guidance note is part of a series of nine modules</w:t>
      </w:r>
      <w:r>
        <w:rPr>
          <w:rFonts w:asciiTheme="minorHAnsi" w:hAnsiTheme="minorHAnsi"/>
          <w:sz w:val="20"/>
          <w:szCs w:val="20"/>
          <w:lang w:val="en-GB"/>
        </w:rPr>
        <w:t xml:space="preserve"> that </w:t>
      </w:r>
      <w:r w:rsidRPr="002E2737">
        <w:rPr>
          <w:rFonts w:asciiTheme="minorHAnsi" w:hAnsiTheme="minorHAnsi"/>
          <w:sz w:val="20"/>
          <w:szCs w:val="20"/>
          <w:lang w:val="en-GB"/>
        </w:rPr>
        <w:t xml:space="preserve">seeks to provide support to humanitarian actors working on Cash Based Programming in Somalia </w:t>
      </w:r>
      <w:r>
        <w:rPr>
          <w:rFonts w:asciiTheme="minorHAnsi" w:hAnsiTheme="minorHAnsi"/>
          <w:sz w:val="20"/>
          <w:szCs w:val="20"/>
          <w:lang w:val="en-GB"/>
        </w:rPr>
        <w:t>C</w:t>
      </w:r>
      <w:r w:rsidRPr="002E2737">
        <w:rPr>
          <w:rFonts w:asciiTheme="minorHAnsi" w:hAnsiTheme="minorHAnsi"/>
          <w:sz w:val="20"/>
          <w:szCs w:val="20"/>
          <w:lang w:val="en-GB"/>
        </w:rPr>
        <w:t xml:space="preserve">ash transfer programming can be set up through different designs with contextual specificities defining diverse approaches to targeting, control mechanisms, risk mitigation and </w:t>
      </w:r>
      <w:r>
        <w:rPr>
          <w:rFonts w:asciiTheme="minorHAnsi" w:hAnsiTheme="minorHAnsi"/>
          <w:sz w:val="20"/>
          <w:szCs w:val="20"/>
          <w:lang w:val="en-GB"/>
        </w:rPr>
        <w:t>risk management.</w:t>
      </w:r>
    </w:p>
    <w:p w:rsidR="00914231" w:rsidRPr="00826442" w:rsidRDefault="00914231" w:rsidP="00826442">
      <w:pPr>
        <w:pStyle w:val="Heading1"/>
      </w:pPr>
      <w:bookmarkStart w:id="1" w:name="_Toc386125018"/>
      <w:r w:rsidRPr="00826442">
        <w:t>When to use vouchers</w:t>
      </w:r>
      <w:bookmarkEnd w:id="1"/>
    </w:p>
    <w:p w:rsidR="004102A9" w:rsidRDefault="004102A9" w:rsidP="00005AEF">
      <w:pPr>
        <w:widowControl/>
        <w:kinsoku/>
        <w:overflowPunct/>
        <w:spacing w:after="12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Use of vouchers as a means to transfer cash or commodities is aimed at addressing a specific </w:t>
      </w:r>
      <w:r w:rsidR="00B33737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defined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purpose</w:t>
      </w:r>
      <w:r w:rsidR="00B33737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such as improving the nutrition status of households through food vouchers. Use of vouchers limits the choices available to a household to the specified items or source. This approach is particularly useful where there is a risk of misuse or unintended use of the cash provided.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</w:t>
      </w:r>
    </w:p>
    <w:p w:rsidR="0095574C" w:rsidRPr="00005AEF" w:rsidRDefault="00981E31" w:rsidP="00005AEF">
      <w:pPr>
        <w:widowControl/>
        <w:kinsoku/>
        <w:overflowPunct/>
        <w:spacing w:after="12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005AE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The level of choice in a voucher program can be scale</w:t>
      </w:r>
      <w:r w:rsidR="00455B96" w:rsidRPr="00005AE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d</w:t>
      </w:r>
      <w:r w:rsidRPr="00005AE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up </w:t>
      </w:r>
      <w:r w:rsidR="00455B96" w:rsidRPr="00005AE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depending on</w:t>
      </w:r>
      <w:r w:rsidRPr="00005AE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:</w:t>
      </w:r>
    </w:p>
    <w:p w:rsidR="00981E31" w:rsidRPr="0031104F" w:rsidRDefault="00981E31" w:rsidP="0031104F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Number and locations of shops </w:t>
      </w:r>
      <w:r w:rsidR="00005AEF" w:rsidRPr="00005AEF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willing and able to participate in </w:t>
      </w:r>
      <w:r w:rsidR="00005AEF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a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voucher project.</w:t>
      </w:r>
    </w:p>
    <w:p w:rsidR="00981E31" w:rsidRDefault="00005AEF" w:rsidP="0031104F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Frequency of the t</w:t>
      </w:r>
      <w:r w:rsidR="00981E31"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iming </w:t>
      </w:r>
      <w:r w:rsidR="00455B9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of the</w:t>
      </w:r>
      <w:r w:rsidR="00954AEC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</w:t>
      </w:r>
      <w:r w:rsidR="00981E31"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use </w:t>
      </w:r>
      <w:r w:rsidR="00455B9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of </w:t>
      </w:r>
      <w:r w:rsidR="00981E31"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the voucher (from once a month with full ration to open access when needed)</w:t>
      </w:r>
    </w:p>
    <w:p w:rsidR="00E947B7" w:rsidRDefault="00E947B7" w:rsidP="00330846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Quality of the inputs to be provided / supplied: certain items (e.g. such as quality seeds, special foods, </w:t>
      </w:r>
      <w:proofErr w:type="spellStart"/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etc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)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cannot simply not be accessed by local suppliers. </w:t>
      </w:r>
    </w:p>
    <w:p w:rsidR="00914231" w:rsidRPr="00826442" w:rsidRDefault="00914231" w:rsidP="00826442">
      <w:pPr>
        <w:pStyle w:val="Heading1"/>
      </w:pPr>
      <w:bookmarkStart w:id="2" w:name="_Toc386125019"/>
      <w:r w:rsidRPr="00981E31">
        <w:t>Cash or commodity vouchers</w:t>
      </w:r>
      <w:bookmarkEnd w:id="2"/>
    </w:p>
    <w:p w:rsidR="0095574C" w:rsidRDefault="0031104F" w:rsidP="00981E31">
      <w:pPr>
        <w:widowControl/>
        <w:kinsoku/>
        <w:overflowPunct/>
        <w:spacing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Voucher can be of two forms;</w:t>
      </w:r>
    </w:p>
    <w:p w:rsidR="0031104F" w:rsidRDefault="00340F24" w:rsidP="0031104F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Cash voucher: 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A voucher distributed by the </w:t>
      </w:r>
      <w:r w:rsidR="000A3E6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implementing organization 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to </w:t>
      </w:r>
      <w:r w:rsidR="00B33737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selected 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beneficiaries wh</w:t>
      </w:r>
      <w:r w:rsidR="0073241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o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can then exchange the voucher with goods up </w:t>
      </w:r>
      <w:r w:rsidR="0073241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to 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the value indicated on the voucher. The </w:t>
      </w:r>
      <w:r w:rsid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IO</w:t>
      </w:r>
      <w:r w:rsidR="00954AEC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then pay</w:t>
      </w:r>
      <w:r w:rsidR="0073241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s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the supplier against the verification of the voucher</w:t>
      </w:r>
      <w:r w:rsidR="0073241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s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collected. In such </w:t>
      </w:r>
      <w:r w:rsidR="0073241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a 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situation the beneficiaries have the full choice </w:t>
      </w:r>
      <w:r w:rsidR="00AC543C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of </w:t>
      </w:r>
      <w:r w:rsid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the type of items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but restricted choice </w:t>
      </w:r>
      <w:r w:rsidR="00AC543C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of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suppliers where </w:t>
      </w:r>
      <w:r w:rsidR="0073241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the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voucher can be exchanged.</w:t>
      </w:r>
    </w:p>
    <w:p w:rsidR="00340F24" w:rsidRDefault="00340F24" w:rsidP="0031104F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Commodity voucher: This voucher is </w:t>
      </w:r>
      <w:r w:rsidR="00B33737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redeemable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for fixed quantity of pre-selected items in selected shops. The beneficiaries ha</w:t>
      </w:r>
      <w:r w:rsidR="0073241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ve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therefore no choice.</w:t>
      </w:r>
    </w:p>
    <w:p w:rsidR="00AC543C" w:rsidRDefault="00AC543C" w:rsidP="0031104F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Vouchers can also specify an amount and a restricted list of items that can be obtained with them –</w:t>
      </w:r>
      <w:r w:rsidR="00B33737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hence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the beneficiary has an element of choice over the quantity of various items, but cannot buy </w:t>
      </w:r>
      <w:r w:rsidR="00CC7C21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certain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prohibited items (which the </w:t>
      </w:r>
      <w:r w:rsidR="00CC7C21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IO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determines) with the voucher.</w:t>
      </w:r>
    </w:p>
    <w:p w:rsidR="004745D8" w:rsidRPr="00DC2A01" w:rsidRDefault="00E20532" w:rsidP="00DC2A01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The vouchers could either be in the form of paper vouchers or electronic vouchers</w:t>
      </w:r>
      <w:r w:rsidR="004745D8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. </w:t>
      </w:r>
    </w:p>
    <w:p w:rsidR="004745D8" w:rsidRPr="00955D78" w:rsidRDefault="004745D8" w:rsidP="004745D8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DC2A01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The open electronic swipe card is the preferred type of </w:t>
      </w:r>
      <w:r w:rsidR="00CA0C9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electronic </w:t>
      </w:r>
      <w:r w:rsidRPr="00DC2A01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voucher</w:t>
      </w:r>
      <w:r w:rsidR="00CA0C9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which largely depends on</w:t>
      </w:r>
      <w:r w:rsidRPr="00DC2A01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</w:t>
      </w:r>
      <w:r w:rsidR="00CA0C9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</w:t>
      </w:r>
      <w:r w:rsidRPr="00DC2A01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he availability of network coverage. </w:t>
      </w:r>
      <w:r w:rsidRPr="004745D8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It has been used in the pas</w:t>
      </w:r>
      <w:r w:rsidR="00E947B7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</w:t>
      </w:r>
      <w:r w:rsidR="003E7C89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to help farmers access seeds; </w:t>
      </w:r>
      <w:r w:rsidRPr="004745D8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fertilizers and lime; </w:t>
      </w:r>
      <w:r w:rsidRPr="00955D78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agrochemicals; and</w:t>
      </w:r>
      <w:r w:rsidRPr="004745D8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</w:t>
      </w:r>
      <w:r w:rsidRPr="00955D78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implements and spare parts for farming equipment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.</w:t>
      </w:r>
      <w:r w:rsidR="00EE62FD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However, this concept has not been used in Somalia </w:t>
      </w:r>
    </w:p>
    <w:p w:rsidR="00914231" w:rsidRPr="00981E31" w:rsidRDefault="00914231" w:rsidP="00826442">
      <w:pPr>
        <w:pStyle w:val="Heading1"/>
        <w:rPr>
          <w:smallCaps/>
        </w:rPr>
      </w:pPr>
      <w:bookmarkStart w:id="3" w:name="_Toc386125020"/>
      <w:r w:rsidRPr="00981E31">
        <w:t>Designing vouchers</w:t>
      </w:r>
      <w:bookmarkEnd w:id="3"/>
    </w:p>
    <w:p w:rsidR="0095574C" w:rsidRDefault="0095574C" w:rsidP="0095574C">
      <w:pPr>
        <w:pStyle w:val="ListParagraph"/>
        <w:tabs>
          <w:tab w:val="right" w:pos="6552"/>
        </w:tabs>
        <w:contextualSpacing w:val="0"/>
        <w:jc w:val="both"/>
        <w:rPr>
          <w:rFonts w:asciiTheme="minorHAnsi" w:hAnsiTheme="minorHAnsi" w:cs="Tahoma"/>
          <w:i/>
          <w:sz w:val="18"/>
          <w:szCs w:val="18"/>
          <w:lang w:val="en-GB"/>
        </w:rPr>
      </w:pPr>
    </w:p>
    <w:tbl>
      <w:tblPr>
        <w:tblStyle w:val="TableGrid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3118"/>
      </w:tblGrid>
      <w:tr w:rsidR="008306B4" w:rsidRPr="00F95E2C" w:rsidTr="002C5491">
        <w:trPr>
          <w:trHeight w:val="454"/>
        </w:trPr>
        <w:tc>
          <w:tcPr>
            <w:tcW w:w="6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</w:tcPr>
          <w:p w:rsidR="008306B4" w:rsidRPr="00F95E2C" w:rsidRDefault="008306B4" w:rsidP="000910BB">
            <w:pPr>
              <w:tabs>
                <w:tab w:val="right" w:pos="10296"/>
              </w:tabs>
              <w:ind w:left="709" w:right="74"/>
              <w:jc w:val="center"/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</w:pPr>
            <w:r w:rsidRPr="00F95E2C"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  <w:t>Key questions to consider during the design of the project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</w:tcPr>
          <w:p w:rsidR="008306B4" w:rsidRPr="00F95E2C" w:rsidRDefault="008306B4" w:rsidP="000910BB">
            <w:pPr>
              <w:tabs>
                <w:tab w:val="right" w:pos="10296"/>
              </w:tabs>
              <w:ind w:left="709" w:right="74"/>
              <w:jc w:val="center"/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</w:pPr>
            <w:r w:rsidRPr="00F95E2C"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  <w:t>Outputs</w:t>
            </w:r>
          </w:p>
        </w:tc>
      </w:tr>
      <w:tr w:rsidR="008306B4" w:rsidRPr="00005AEF" w:rsidTr="005B33FF"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306B4" w:rsidRPr="00F95E2C" w:rsidRDefault="008306B4" w:rsidP="005B33FF">
            <w:pPr>
              <w:widowControl/>
              <w:kinsoku/>
              <w:overflowPunct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</w:pPr>
            <w:r w:rsidRPr="00F95E2C"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  <w:t>For voucher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6B4" w:rsidRPr="00F95E2C" w:rsidRDefault="008306B4" w:rsidP="00E511AC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 w:val="0"/>
              <w:autoSpaceDN w:val="0"/>
              <w:adjustRightInd w:val="0"/>
              <w:snapToGrid w:val="0"/>
              <w:spacing w:after="120"/>
              <w:ind w:left="318" w:hanging="318"/>
              <w:contextualSpacing w:val="0"/>
              <w:jc w:val="both"/>
              <w:textAlignment w:val="auto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Define the list of items</w:t>
            </w:r>
            <w:r w:rsidR="00FB26E6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/services</w:t>
            </w: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and their respective level of needs and acceptance by beneficiaries. Measurement of level of re</w:t>
            </w:r>
            <w:r w:rsidR="00B33737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-</w:t>
            </w: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s</w:t>
            </w:r>
            <w:r w:rsidR="0073241B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ale</w:t>
            </w:r>
            <w:r w:rsidR="00954AE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of each item should be a key aspect of monitoring.</w:t>
            </w:r>
          </w:p>
          <w:p w:rsidR="008306B4" w:rsidRPr="00F95E2C" w:rsidRDefault="00B33737" w:rsidP="00DC2A01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 w:val="0"/>
              <w:autoSpaceDN w:val="0"/>
              <w:adjustRightInd w:val="0"/>
              <w:snapToGrid w:val="0"/>
              <w:spacing w:after="120"/>
              <w:ind w:left="318" w:hanging="318"/>
              <w:contextualSpacing w:val="0"/>
              <w:jc w:val="both"/>
              <w:textAlignment w:val="auto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Identify </w:t>
            </w:r>
            <w:r w:rsidR="0073241B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the </w:t>
            </w:r>
            <w:r w:rsidR="008306B4"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number of local traders able to supply targeted items and their capacity to serve beneficiaries and to report appropriately.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6B4" w:rsidRPr="00F95E2C" w:rsidRDefault="008306B4" w:rsidP="005B33FF">
            <w:pPr>
              <w:tabs>
                <w:tab w:val="right" w:pos="10296"/>
              </w:tabs>
              <w:spacing w:before="120" w:after="120"/>
              <w:ind w:right="74"/>
              <w:jc w:val="both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 w:rsidRPr="00F95E2C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  <w:lang w:val="en-GB" w:eastAsia="en-US"/>
              </w:rPr>
              <w:t>⧠</w:t>
            </w:r>
            <w:r w:rsidR="00954AE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List of items</w:t>
            </w:r>
            <w:r w:rsidR="00FB26E6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/services</w:t>
            </w: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to be distributed.</w:t>
            </w:r>
          </w:p>
          <w:p w:rsidR="008306B4" w:rsidRPr="00F95E2C" w:rsidRDefault="008306B4" w:rsidP="005B33FF">
            <w:pPr>
              <w:tabs>
                <w:tab w:val="right" w:pos="10296"/>
              </w:tabs>
              <w:spacing w:before="120" w:after="120"/>
              <w:ind w:right="74"/>
              <w:jc w:val="both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 w:rsidRPr="00F95E2C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  <w:lang w:val="en-GB" w:eastAsia="en-US"/>
              </w:rPr>
              <w:t>⧠</w:t>
            </w: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List of traders able to supply and distribute items as per expected standards.</w:t>
            </w:r>
          </w:p>
          <w:p w:rsidR="008306B4" w:rsidRPr="00F95E2C" w:rsidRDefault="008306B4" w:rsidP="005B33FF">
            <w:pPr>
              <w:tabs>
                <w:tab w:val="right" w:pos="10296"/>
              </w:tabs>
              <w:spacing w:before="120" w:after="120"/>
              <w:ind w:right="74"/>
              <w:jc w:val="both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 w:rsidRPr="00F95E2C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  <w:lang w:val="en-GB" w:eastAsia="en-US"/>
              </w:rPr>
              <w:t>⧠</w:t>
            </w:r>
            <w:r w:rsidRPr="00F95E2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Process of distribution and reporting mechanism by suppliers.</w:t>
            </w:r>
          </w:p>
        </w:tc>
      </w:tr>
      <w:tr w:rsidR="008306B4" w:rsidRPr="00005AEF" w:rsidTr="005B33FF"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</w:tcPr>
          <w:p w:rsidR="008306B4" w:rsidRPr="00F95E2C" w:rsidRDefault="008306B4" w:rsidP="005B33FF">
            <w:pPr>
              <w:widowControl/>
              <w:kinsoku/>
              <w:overflowPunct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000000" w:themeColor="text1"/>
                <w:spacing w:val="-3"/>
                <w:sz w:val="20"/>
                <w:szCs w:val="20"/>
                <w:lang w:val="en-GB" w:eastAsia="en-US"/>
              </w:rPr>
              <w:t>Anti fraud</w:t>
            </w:r>
            <w:proofErr w:type="spellEnd"/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6B4" w:rsidRDefault="008306B4" w:rsidP="003307E1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 w:val="0"/>
              <w:autoSpaceDN w:val="0"/>
              <w:adjustRightInd w:val="0"/>
              <w:snapToGrid w:val="0"/>
              <w:spacing w:after="120"/>
              <w:ind w:left="318" w:hanging="318"/>
              <w:contextualSpacing w:val="0"/>
              <w:jc w:val="both"/>
              <w:textAlignment w:val="auto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Design the voucher as unique as possible and focus on increasing the difficulties </w:t>
            </w:r>
            <w:r w:rsidR="0073241B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in</w:t>
            </w:r>
            <w:r w:rsidR="00954AE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replicat</w:t>
            </w:r>
            <w:r w:rsidR="0073241B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ing</w:t>
            </w: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the voucher (special paper, unique stamp,</w:t>
            </w:r>
            <w:r w:rsidR="00DC2A01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E20532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serialised</w:t>
            </w: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…) </w:t>
            </w:r>
            <w:proofErr w:type="gramStart"/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Print</w:t>
            </w:r>
            <w:proofErr w:type="gramEnd"/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the </w:t>
            </w: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lastRenderedPageBreak/>
              <w:t>voucher only few days before the</w:t>
            </w:r>
            <w:r w:rsidR="00E20532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actual</w:t>
            </w: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distribution.</w:t>
            </w:r>
          </w:p>
          <w:p w:rsidR="008306B4" w:rsidRDefault="008306B4" w:rsidP="003307E1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 w:val="0"/>
              <w:autoSpaceDN w:val="0"/>
              <w:adjustRightInd w:val="0"/>
              <w:snapToGrid w:val="0"/>
              <w:spacing w:after="120"/>
              <w:ind w:left="318" w:hanging="318"/>
              <w:contextualSpacing w:val="0"/>
              <w:jc w:val="both"/>
              <w:textAlignment w:val="auto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Add a unique serial number on each voucher.</w:t>
            </w:r>
          </w:p>
          <w:p w:rsidR="008306B4" w:rsidRPr="00F95E2C" w:rsidRDefault="008306B4" w:rsidP="00954AEC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 w:val="0"/>
              <w:autoSpaceDN w:val="0"/>
              <w:adjustRightInd w:val="0"/>
              <w:snapToGrid w:val="0"/>
              <w:spacing w:after="120"/>
              <w:ind w:left="318" w:hanging="318"/>
              <w:contextualSpacing w:val="0"/>
              <w:jc w:val="both"/>
              <w:textAlignment w:val="auto"/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Do not add any information </w:t>
            </w:r>
            <w:r w:rsidR="00372FBB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that could</w:t>
            </w:r>
            <w:r w:rsidR="00954AEC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>be used by the supplier to verify</w:t>
            </w:r>
            <w:r w:rsidR="00372FBB"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the</w:t>
            </w:r>
            <w:r>
              <w:rPr>
                <w:rFonts w:asciiTheme="minorHAnsi" w:eastAsia="Times New Roman" w:hAnsiTheme="minorHAnsi" w:cs="AGaramond-Bold"/>
                <w:color w:val="000000" w:themeColor="text1"/>
                <w:sz w:val="20"/>
                <w:szCs w:val="20"/>
                <w:lang w:val="en-GB" w:eastAsia="en-US"/>
              </w:rPr>
              <w:t xml:space="preserve"> identity of the beneficiaries on the voucher.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6B4" w:rsidRPr="00F95E2C" w:rsidRDefault="008306B4" w:rsidP="005B33FF">
            <w:pPr>
              <w:tabs>
                <w:tab w:val="right" w:pos="10296"/>
              </w:tabs>
              <w:spacing w:before="120" w:after="120"/>
              <w:ind w:right="74"/>
              <w:jc w:val="both"/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</w:tbl>
    <w:p w:rsidR="00005AEF" w:rsidRDefault="00005AEF" w:rsidP="00005AEF">
      <w:pPr>
        <w:pStyle w:val="Heading1"/>
      </w:pPr>
      <w:r w:rsidRPr="00005AEF">
        <w:lastRenderedPageBreak/>
        <w:t xml:space="preserve">Key </w:t>
      </w:r>
      <w:r>
        <w:t>risks</w:t>
      </w:r>
      <w:r w:rsidR="001071C4">
        <w:t xml:space="preserve"> to consider and to monitor</w:t>
      </w:r>
    </w:p>
    <w:p w:rsidR="00005AEF" w:rsidRPr="0031104F" w:rsidRDefault="00005AEF" w:rsidP="00005AEF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R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eselling of items can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take place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and should not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be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under estimated. Reselling of </w:t>
      </w:r>
      <w:r w:rsidR="003E7C89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items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means that the selection and quantity of items are not meeting the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priorities of the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beneficiaries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,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and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by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reselling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,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the beneficiaries get </w:t>
      </w:r>
      <w:r w:rsidR="003E7C89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back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his/her full right to choice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, though with a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loss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of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value during the res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ale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, usually at low price.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Some NGOs have for example decided to include sugar in the voucher as it is </w:t>
      </w:r>
      <w:r w:rsidR="003E7C89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a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key food item that </w:t>
      </w:r>
      <w:r w:rsidR="004745D8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any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household would need and therefore the reselling of oth</w:t>
      </w:r>
      <w:r w:rsidR="003E7C89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ers food items to procure sugar  do not occur.</w:t>
      </w:r>
    </w:p>
    <w:p w:rsidR="00005AEF" w:rsidRPr="0031104F" w:rsidRDefault="00005AEF" w:rsidP="00005AEF">
      <w:pPr>
        <w:pStyle w:val="ListParagraph"/>
        <w:widowControl/>
        <w:numPr>
          <w:ilvl w:val="0"/>
          <w:numId w:val="10"/>
        </w:numPr>
        <w:kinsoku/>
        <w:overflowPunct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Actors of diversion and taxation on beneficiaries returning home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could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be more active with cash distribution rather in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kind </w:t>
      </w:r>
      <w:r w:rsidRPr="0031104F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items distribution.</w:t>
      </w:r>
    </w:p>
    <w:p w:rsidR="00914231" w:rsidRPr="00981E31" w:rsidRDefault="00914231" w:rsidP="00826442">
      <w:pPr>
        <w:pStyle w:val="Heading1"/>
        <w:rPr>
          <w:smallCaps/>
        </w:rPr>
      </w:pPr>
      <w:bookmarkStart w:id="4" w:name="_Toc386125021"/>
      <w:r w:rsidRPr="00981E31">
        <w:t>Vouchers redeemable with local shops and traders</w:t>
      </w:r>
      <w:bookmarkEnd w:id="4"/>
    </w:p>
    <w:p w:rsidR="00FB26E6" w:rsidRPr="00FB26E6" w:rsidRDefault="00FB26E6" w:rsidP="00FB26E6">
      <w:pPr>
        <w:widowControl/>
        <w:kinsoku/>
        <w:overflowPunct/>
        <w:spacing w:after="12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Key aspects to consider for a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voucher set up project:</w:t>
      </w:r>
    </w:p>
    <w:p w:rsidR="0095574C" w:rsidRPr="00826442" w:rsidRDefault="00E62BE2" w:rsidP="00FB26E6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82644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Relations with shop holders</w:t>
      </w:r>
      <w:r w:rsidR="001071C4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.</w:t>
      </w:r>
    </w:p>
    <w:p w:rsidR="0095574C" w:rsidRPr="00826442" w:rsidRDefault="00E62BE2" w:rsidP="00FB26E6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82644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Locations of shops</w:t>
      </w:r>
      <w:r w:rsidR="003B52D5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. Shop</w:t>
      </w:r>
      <w:r w:rsidR="001071C4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s</w:t>
      </w:r>
      <w:r w:rsidR="003B52D5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should be accessible from a distance or security point of view.</w:t>
      </w:r>
    </w:p>
    <w:p w:rsidR="00E62BE2" w:rsidRPr="00826442" w:rsidRDefault="00826442" w:rsidP="00FB26E6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W</w:t>
      </w:r>
      <w:r w:rsidR="00E62BE2" w:rsidRPr="0082644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ho are the traders? </w:t>
      </w:r>
      <w:r w:rsidR="00372FBB" w:rsidRPr="0082644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Could </w:t>
      </w:r>
      <w:r w:rsidR="00E62BE2" w:rsidRPr="0082644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the project focus on different methodology or modality to increase </w:t>
      </w:r>
      <w:r w:rsidR="00372FB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the </w:t>
      </w:r>
      <w:r w:rsidR="00E62BE2" w:rsidRPr="0082644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number shops involved in the process and to increase small shops benefit of the project.</w:t>
      </w:r>
    </w:p>
    <w:p w:rsidR="00826442" w:rsidRPr="00FB26E6" w:rsidRDefault="00826442" w:rsidP="00FB26E6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Taxation after reception of </w:t>
      </w:r>
      <w:r w:rsidR="00372FBB"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the </w:t>
      </w:r>
      <w:r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food voucher. </w:t>
      </w:r>
      <w:r w:rsidR="00372FBB"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It </w:t>
      </w:r>
      <w:r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is recommended to spread the distribution over a long period of time to increase difficulties for </w:t>
      </w:r>
      <w:r w:rsidR="00372FBB"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informal </w:t>
      </w:r>
      <w:r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taxation </w:t>
      </w:r>
      <w:r w:rsidR="00372FBB"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of </w:t>
      </w:r>
      <w:r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actors to conduct taxation exercise.</w:t>
      </w:r>
    </w:p>
    <w:p w:rsidR="00826442" w:rsidRPr="00FB26E6" w:rsidRDefault="003B52D5" w:rsidP="00FB26E6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FB26E6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Selection of traders participating in the voucher project</w:t>
      </w:r>
    </w:p>
    <w:p w:rsidR="00914231" w:rsidRPr="00981E31" w:rsidRDefault="00914231" w:rsidP="00826442">
      <w:pPr>
        <w:pStyle w:val="Heading1"/>
        <w:rPr>
          <w:smallCaps/>
        </w:rPr>
      </w:pPr>
      <w:bookmarkStart w:id="5" w:name="_Toc386125022"/>
      <w:r w:rsidRPr="00981E31">
        <w:t>Voucher fairs</w:t>
      </w:r>
      <w:bookmarkEnd w:id="5"/>
    </w:p>
    <w:p w:rsidR="0095574C" w:rsidRPr="00AC2202" w:rsidRDefault="006D3753" w:rsidP="00AC2202">
      <w:pPr>
        <w:widowControl/>
        <w:kinsoku/>
        <w:overflowPunct/>
        <w:spacing w:after="120" w:line="276" w:lineRule="auto"/>
        <w:jc w:val="both"/>
        <w:rPr>
          <w:rFonts w:asciiTheme="minorHAnsi" w:hAnsiTheme="minorHAnsi" w:cs="Tahoma"/>
          <w:spacing w:val="-1"/>
          <w:sz w:val="20"/>
          <w:szCs w:val="20"/>
          <w:lang w:val="en-GB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A</w:t>
      </w:r>
      <w:r w:rsidR="008064AB"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voucher fair </w:t>
      </w: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can be</w:t>
      </w:r>
      <w:r w:rsidR="00916E7E" w:rsidRPr="00AC2202">
        <w:rPr>
          <w:rFonts w:asciiTheme="minorHAnsi" w:hAnsiTheme="minorHAnsi" w:cs="Tahoma"/>
          <w:spacing w:val="-1"/>
          <w:sz w:val="20"/>
          <w:szCs w:val="20"/>
          <w:lang w:val="en-GB"/>
        </w:rPr>
        <w:t xml:space="preserve"> establish</w:t>
      </w:r>
      <w:r w:rsidR="00AC2202" w:rsidRPr="00AC2202">
        <w:rPr>
          <w:rFonts w:asciiTheme="minorHAnsi" w:hAnsiTheme="minorHAnsi" w:cs="Tahoma"/>
          <w:spacing w:val="-1"/>
          <w:sz w:val="20"/>
          <w:szCs w:val="20"/>
          <w:lang w:val="en-GB"/>
        </w:rPr>
        <w:t>ed</w:t>
      </w:r>
      <w:r w:rsidR="00916E7E" w:rsidRPr="00AC2202">
        <w:rPr>
          <w:rFonts w:asciiTheme="minorHAnsi" w:hAnsiTheme="minorHAnsi" w:cs="Tahoma"/>
          <w:spacing w:val="-1"/>
          <w:sz w:val="20"/>
          <w:szCs w:val="20"/>
          <w:lang w:val="en-GB"/>
        </w:rPr>
        <w:t xml:space="preserve"> </w:t>
      </w:r>
      <w:r w:rsidR="00AC2202" w:rsidRPr="00AC2202">
        <w:rPr>
          <w:rFonts w:asciiTheme="minorHAnsi" w:hAnsiTheme="minorHAnsi" w:cs="Tahoma"/>
          <w:spacing w:val="-1"/>
          <w:sz w:val="20"/>
          <w:szCs w:val="20"/>
          <w:lang w:val="en-GB"/>
        </w:rPr>
        <w:t>as a market set up by IO</w:t>
      </w:r>
      <w:r w:rsidR="00916E7E" w:rsidRPr="00AC2202">
        <w:rPr>
          <w:rFonts w:asciiTheme="minorHAnsi" w:hAnsiTheme="minorHAnsi" w:cs="Tahoma"/>
          <w:spacing w:val="-1"/>
          <w:sz w:val="20"/>
          <w:szCs w:val="20"/>
          <w:lang w:val="en-GB"/>
        </w:rPr>
        <w:t>, where vendors come to sell their goods and recipients can pur</w:t>
      </w:r>
      <w:r w:rsidR="00AC2202" w:rsidRPr="00AC2202">
        <w:rPr>
          <w:rFonts w:asciiTheme="minorHAnsi" w:hAnsiTheme="minorHAnsi" w:cs="Tahoma"/>
          <w:spacing w:val="-1"/>
          <w:sz w:val="20"/>
          <w:szCs w:val="20"/>
          <w:lang w:val="en-GB"/>
        </w:rPr>
        <w:t xml:space="preserve">chase them with their vouchers. The security of the site should be carefully considered and the conflict sensitivity and the choice of vendors invited to participate should be carefully </w:t>
      </w:r>
      <w:r w:rsidR="003E7C89">
        <w:rPr>
          <w:rFonts w:asciiTheme="minorHAnsi" w:hAnsiTheme="minorHAnsi" w:cs="Tahoma"/>
          <w:spacing w:val="-1"/>
          <w:sz w:val="20"/>
          <w:szCs w:val="20"/>
          <w:lang w:val="en-GB"/>
        </w:rPr>
        <w:t>assessed</w:t>
      </w:r>
      <w:r w:rsidR="00AC2202" w:rsidRPr="00AC2202">
        <w:rPr>
          <w:rFonts w:asciiTheme="minorHAnsi" w:hAnsiTheme="minorHAnsi" w:cs="Tahoma"/>
          <w:spacing w:val="-1"/>
          <w:sz w:val="20"/>
          <w:szCs w:val="20"/>
          <w:lang w:val="en-GB"/>
        </w:rPr>
        <w:t>.</w:t>
      </w:r>
    </w:p>
    <w:p w:rsidR="00231C7C" w:rsidRPr="00AC2202" w:rsidRDefault="008064AB" w:rsidP="006D3753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Selection </w:t>
      </w:r>
      <w:r w:rsidR="006D3753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of vendors; 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O</w:t>
      </w:r>
      <w:r w:rsidR="00AC2202"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pen to all </w:t>
      </w:r>
      <w:r w:rsidR="006D3753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vendors </w:t>
      </w:r>
      <w:r w:rsidR="00AC2202"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or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restricted (quality of inputs, price, conflict sensitivity</w:t>
      </w:r>
      <w:proofErr w:type="gramStart"/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,…</w:t>
      </w:r>
      <w:proofErr w:type="gramEnd"/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). 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he larger the number of vendors, the more choice would have the beneficiaries.</w:t>
      </w:r>
    </w:p>
    <w:p w:rsidR="008064AB" w:rsidRPr="00AC2202" w:rsidRDefault="008064AB" w:rsidP="006D3753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Determine the list of goods and their respective quality to 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be </w:t>
      </w:r>
      <w:r w:rsidR="003E7C89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included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in the fair.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The type of items to be accepted in the fair should link to the project objective.</w:t>
      </w:r>
    </w:p>
    <w:p w:rsidR="008064AB" w:rsidRDefault="008064AB" w:rsidP="006D3753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Price: if price can be fixed, it will make the process easier and will reduce the space for 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possible 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tension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s during the fair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. However, fixed price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s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would require 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extensive price negotiation between IO and suppliers, and would need 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to consider difference of quality 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for all</w:t>
      </w:r>
      <w:r w:rsidRP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 items propo</w:t>
      </w:r>
      <w:r w:rsidR="00AC2202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sed.</w:t>
      </w:r>
    </w:p>
    <w:p w:rsidR="006D3753" w:rsidRPr="00AC2202" w:rsidRDefault="006D3753" w:rsidP="006D3753">
      <w:pPr>
        <w:pStyle w:val="ListParagraph"/>
        <w:widowControl/>
        <w:numPr>
          <w:ilvl w:val="0"/>
          <w:numId w:val="13"/>
        </w:numPr>
        <w:kinsoku/>
        <w:overflowPunct/>
        <w:spacing w:after="120"/>
        <w:ind w:left="1418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The fair is limited to specific days and therefore can provide space for more IO control on the process compared to others voucher methodologies.</w:t>
      </w:r>
    </w:p>
    <w:sectPr w:rsidR="006D3753" w:rsidRPr="00AC2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28" w:rsidRDefault="00F71E28" w:rsidP="00DF2528">
      <w:r>
        <w:separator/>
      </w:r>
    </w:p>
  </w:endnote>
  <w:endnote w:type="continuationSeparator" w:id="0">
    <w:p w:rsidR="00F71E28" w:rsidRDefault="00F71E28" w:rsidP="00D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33" w:rsidRDefault="000F0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13384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1265F" w:rsidRPr="00F1265F" w:rsidRDefault="00F1265F">
        <w:pPr>
          <w:pStyle w:val="Footer"/>
          <w:jc w:val="right"/>
          <w:rPr>
            <w:b/>
          </w:rPr>
        </w:pPr>
        <w:r w:rsidRPr="00F1265F">
          <w:rPr>
            <w:b/>
          </w:rPr>
          <w:fldChar w:fldCharType="begin"/>
        </w:r>
        <w:r w:rsidRPr="00F1265F">
          <w:rPr>
            <w:b/>
          </w:rPr>
          <w:instrText xml:space="preserve"> PAGE   \* MERGEFORMAT </w:instrText>
        </w:r>
        <w:r w:rsidRPr="00F1265F">
          <w:rPr>
            <w:b/>
          </w:rPr>
          <w:fldChar w:fldCharType="separate"/>
        </w:r>
        <w:r w:rsidR="00AF7405">
          <w:rPr>
            <w:b/>
            <w:noProof/>
          </w:rPr>
          <w:t>1</w:t>
        </w:r>
        <w:r w:rsidRPr="00F1265F">
          <w:rPr>
            <w:b/>
            <w:noProof/>
          </w:rPr>
          <w:fldChar w:fldCharType="end"/>
        </w:r>
      </w:p>
    </w:sdtContent>
  </w:sdt>
  <w:p w:rsidR="00451096" w:rsidRPr="00F1265F" w:rsidRDefault="0045109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33" w:rsidRDefault="000F0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28" w:rsidRDefault="00F71E28" w:rsidP="00DF2528">
      <w:r>
        <w:separator/>
      </w:r>
    </w:p>
  </w:footnote>
  <w:footnote w:type="continuationSeparator" w:id="0">
    <w:p w:rsidR="00F71E28" w:rsidRDefault="00F71E28" w:rsidP="00DF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33" w:rsidRDefault="000F0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28" w:rsidRDefault="00DF25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8D3B6" wp14:editId="1DAEE874">
              <wp:simplePos x="0" y="0"/>
              <wp:positionH relativeFrom="column">
                <wp:posOffset>-909320</wp:posOffset>
              </wp:positionH>
              <wp:positionV relativeFrom="paragraph">
                <wp:posOffset>-456565</wp:posOffset>
              </wp:positionV>
              <wp:extent cx="7553325" cy="6191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191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2528" w:rsidRPr="00005AEF" w:rsidRDefault="00DF2528" w:rsidP="00DF252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05AEF">
                            <w:rPr>
                              <w:lang w:val="en-US"/>
                            </w:rPr>
                            <w:t>CASH BASED PROGRAMMING IN SOMALIA</w:t>
                          </w:r>
                        </w:p>
                        <w:p w:rsidR="00DF2528" w:rsidRPr="00005AEF" w:rsidRDefault="00DF2528" w:rsidP="00DF252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pPr>
                          <w:bookmarkStart w:id="6" w:name="_Toc386022282"/>
                          <w:r w:rsidRPr="00005A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  <w:t xml:space="preserve">Module </w:t>
                          </w:r>
                          <w:r w:rsidR="00451096" w:rsidRPr="00005A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  <w:t>6</w:t>
                          </w:r>
                          <w:r w:rsidRPr="00005A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  <w:t xml:space="preserve"> : </w:t>
                          </w:r>
                          <w:bookmarkEnd w:id="6"/>
                          <w:r w:rsidRPr="00005A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  <w:t>Focus on vouchers</w:t>
                          </w:r>
                        </w:p>
                        <w:p w:rsidR="00DF2528" w:rsidRPr="00005AEF" w:rsidRDefault="00DF2528" w:rsidP="00DF252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1.6pt;margin-top:-35.95pt;width:594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" fillcolor="#4f81bd [3204]" stroked="f" strokeweight="2pt">
              <v:textbox>
                <w:txbxContent>
                  <w:p w:rsidR="00DF2528" w:rsidRPr="00005AEF" w:rsidRDefault="00DF2528" w:rsidP="00DF2528">
                    <w:pPr>
                      <w:jc w:val="center"/>
                      <w:rPr>
                        <w:lang w:val="en-US"/>
                      </w:rPr>
                    </w:pPr>
                    <w:r w:rsidRPr="00005AEF">
                      <w:rPr>
                        <w:lang w:val="en-US"/>
                      </w:rPr>
                      <w:t>CASH BASED PROGRAMMING IN SOMALIA</w:t>
                    </w:r>
                  </w:p>
                  <w:p w:rsidR="00DF2528" w:rsidRPr="00005AEF" w:rsidRDefault="00DF2528" w:rsidP="00DF2528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32"/>
                        <w:szCs w:val="32"/>
                        <w:lang w:val="en-US"/>
                      </w:rPr>
                    </w:pPr>
                    <w:bookmarkStart w:id="7" w:name="_Toc386022282"/>
                    <w:r w:rsidRPr="00005AEF">
                      <w:rPr>
                        <w:rFonts w:asciiTheme="minorHAnsi" w:hAnsiTheme="minorHAnsi"/>
                        <w:b/>
                        <w:color w:val="000000" w:themeColor="text1"/>
                        <w:sz w:val="32"/>
                        <w:szCs w:val="32"/>
                        <w:lang w:val="en-US"/>
                      </w:rPr>
                      <w:t xml:space="preserve">Module </w:t>
                    </w:r>
                    <w:r w:rsidR="00451096" w:rsidRPr="00005AEF">
                      <w:rPr>
                        <w:rFonts w:asciiTheme="minorHAnsi" w:hAnsiTheme="minorHAnsi"/>
                        <w:b/>
                        <w:color w:val="000000" w:themeColor="text1"/>
                        <w:sz w:val="32"/>
                        <w:szCs w:val="32"/>
                        <w:lang w:val="en-US"/>
                      </w:rPr>
                      <w:t>6</w:t>
                    </w:r>
                    <w:r w:rsidRPr="00005AEF">
                      <w:rPr>
                        <w:rFonts w:asciiTheme="minorHAnsi" w:hAnsiTheme="minorHAnsi"/>
                        <w:b/>
                        <w:color w:val="000000" w:themeColor="text1"/>
                        <w:sz w:val="32"/>
                        <w:szCs w:val="32"/>
                        <w:lang w:val="en-US"/>
                      </w:rPr>
                      <w:t xml:space="preserve"> : </w:t>
                    </w:r>
                    <w:bookmarkEnd w:id="7"/>
                    <w:r w:rsidRPr="00005AEF">
                      <w:rPr>
                        <w:rFonts w:asciiTheme="minorHAnsi" w:hAnsiTheme="minorHAnsi"/>
                        <w:b/>
                        <w:color w:val="000000" w:themeColor="text1"/>
                        <w:sz w:val="32"/>
                        <w:szCs w:val="32"/>
                        <w:lang w:val="en-US"/>
                      </w:rPr>
                      <w:t>Focus on vouchers</w:t>
                    </w:r>
                  </w:p>
                  <w:p w:rsidR="00DF2528" w:rsidRPr="00005AEF" w:rsidRDefault="00DF2528" w:rsidP="00DF252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33" w:rsidRDefault="000F0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7B"/>
    <w:multiLevelType w:val="multilevel"/>
    <w:tmpl w:val="7A569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3FA096C"/>
    <w:multiLevelType w:val="hybridMultilevel"/>
    <w:tmpl w:val="638E92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70C2"/>
    <w:multiLevelType w:val="hybridMultilevel"/>
    <w:tmpl w:val="3D1CB7FA"/>
    <w:lvl w:ilvl="0" w:tplc="175EC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7FCE"/>
    <w:multiLevelType w:val="hybridMultilevel"/>
    <w:tmpl w:val="A198CE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720B"/>
    <w:multiLevelType w:val="multilevel"/>
    <w:tmpl w:val="7A569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087468"/>
    <w:multiLevelType w:val="hybridMultilevel"/>
    <w:tmpl w:val="0C3A88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B06"/>
    <w:multiLevelType w:val="multilevel"/>
    <w:tmpl w:val="1666A0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0E40DD"/>
    <w:multiLevelType w:val="multilevel"/>
    <w:tmpl w:val="5466439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12975B5"/>
    <w:multiLevelType w:val="hybridMultilevel"/>
    <w:tmpl w:val="8AE60514"/>
    <w:lvl w:ilvl="0" w:tplc="CA2CA982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44385946"/>
    <w:multiLevelType w:val="hybridMultilevel"/>
    <w:tmpl w:val="1DCA3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93C43"/>
    <w:multiLevelType w:val="hybridMultilevel"/>
    <w:tmpl w:val="184A1A32"/>
    <w:lvl w:ilvl="0" w:tplc="42E83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35692"/>
    <w:multiLevelType w:val="hybridMultilevel"/>
    <w:tmpl w:val="B184827A"/>
    <w:lvl w:ilvl="0" w:tplc="2018B4FE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470FD"/>
    <w:multiLevelType w:val="hybridMultilevel"/>
    <w:tmpl w:val="C874C352"/>
    <w:lvl w:ilvl="0" w:tplc="B61A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71301"/>
    <w:multiLevelType w:val="hybridMultilevel"/>
    <w:tmpl w:val="0466F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531E8"/>
    <w:multiLevelType w:val="hybridMultilevel"/>
    <w:tmpl w:val="86B2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1"/>
    <w:rsid w:val="00005AEF"/>
    <w:rsid w:val="0005476F"/>
    <w:rsid w:val="000A3E66"/>
    <w:rsid w:val="000A7721"/>
    <w:rsid w:val="000B3B98"/>
    <w:rsid w:val="000C6A8E"/>
    <w:rsid w:val="000E56F5"/>
    <w:rsid w:val="000F0433"/>
    <w:rsid w:val="001071C4"/>
    <w:rsid w:val="00145C6F"/>
    <w:rsid w:val="0015030F"/>
    <w:rsid w:val="00165649"/>
    <w:rsid w:val="00174426"/>
    <w:rsid w:val="001773B4"/>
    <w:rsid w:val="0018671A"/>
    <w:rsid w:val="001933F9"/>
    <w:rsid w:val="001C0F4E"/>
    <w:rsid w:val="001C79F0"/>
    <w:rsid w:val="001F74B8"/>
    <w:rsid w:val="00203617"/>
    <w:rsid w:val="00231C7C"/>
    <w:rsid w:val="002871ED"/>
    <w:rsid w:val="00294179"/>
    <w:rsid w:val="002A6ABA"/>
    <w:rsid w:val="002C5491"/>
    <w:rsid w:val="0031104F"/>
    <w:rsid w:val="003307E1"/>
    <w:rsid w:val="00330846"/>
    <w:rsid w:val="00340F24"/>
    <w:rsid w:val="00372FBB"/>
    <w:rsid w:val="003B52D5"/>
    <w:rsid w:val="003E3C99"/>
    <w:rsid w:val="003E7C89"/>
    <w:rsid w:val="003F4DFD"/>
    <w:rsid w:val="004102A9"/>
    <w:rsid w:val="004169F2"/>
    <w:rsid w:val="00451096"/>
    <w:rsid w:val="00455B96"/>
    <w:rsid w:val="004579A7"/>
    <w:rsid w:val="004745D8"/>
    <w:rsid w:val="00474A61"/>
    <w:rsid w:val="00496E44"/>
    <w:rsid w:val="004B02C5"/>
    <w:rsid w:val="004C6398"/>
    <w:rsid w:val="004F243B"/>
    <w:rsid w:val="0051063B"/>
    <w:rsid w:val="005C0C47"/>
    <w:rsid w:val="005D7D5B"/>
    <w:rsid w:val="005F03A8"/>
    <w:rsid w:val="005F0BDE"/>
    <w:rsid w:val="00656136"/>
    <w:rsid w:val="006957DB"/>
    <w:rsid w:val="006A5A6F"/>
    <w:rsid w:val="006D3753"/>
    <w:rsid w:val="007076B4"/>
    <w:rsid w:val="0073241B"/>
    <w:rsid w:val="0075618E"/>
    <w:rsid w:val="00757BF9"/>
    <w:rsid w:val="0079412A"/>
    <w:rsid w:val="007B768A"/>
    <w:rsid w:val="00803C7C"/>
    <w:rsid w:val="008064AB"/>
    <w:rsid w:val="00826442"/>
    <w:rsid w:val="008306B4"/>
    <w:rsid w:val="008577D7"/>
    <w:rsid w:val="00865040"/>
    <w:rsid w:val="008961EC"/>
    <w:rsid w:val="008A33F3"/>
    <w:rsid w:val="008C4B14"/>
    <w:rsid w:val="008D5EB0"/>
    <w:rsid w:val="00901B0C"/>
    <w:rsid w:val="00904BE9"/>
    <w:rsid w:val="00914231"/>
    <w:rsid w:val="00916E7E"/>
    <w:rsid w:val="00954AEC"/>
    <w:rsid w:val="0095574C"/>
    <w:rsid w:val="00981E31"/>
    <w:rsid w:val="00991174"/>
    <w:rsid w:val="009A4FEA"/>
    <w:rsid w:val="009B2AE5"/>
    <w:rsid w:val="009F50CC"/>
    <w:rsid w:val="00A94076"/>
    <w:rsid w:val="00AC2202"/>
    <w:rsid w:val="00AC543C"/>
    <w:rsid w:val="00AE647F"/>
    <w:rsid w:val="00AF7405"/>
    <w:rsid w:val="00B0477F"/>
    <w:rsid w:val="00B15822"/>
    <w:rsid w:val="00B33737"/>
    <w:rsid w:val="00B549D7"/>
    <w:rsid w:val="00B60D0A"/>
    <w:rsid w:val="00B667EC"/>
    <w:rsid w:val="00B903B7"/>
    <w:rsid w:val="00BA6661"/>
    <w:rsid w:val="00BE1B44"/>
    <w:rsid w:val="00BE6ADE"/>
    <w:rsid w:val="00BF4E12"/>
    <w:rsid w:val="00C8192C"/>
    <w:rsid w:val="00CA0C9B"/>
    <w:rsid w:val="00CC3469"/>
    <w:rsid w:val="00CC7C21"/>
    <w:rsid w:val="00CC7FB8"/>
    <w:rsid w:val="00CE123F"/>
    <w:rsid w:val="00CE2FBA"/>
    <w:rsid w:val="00CF3CCD"/>
    <w:rsid w:val="00D36BE0"/>
    <w:rsid w:val="00D571B9"/>
    <w:rsid w:val="00D65AC2"/>
    <w:rsid w:val="00D66BCA"/>
    <w:rsid w:val="00DA2DFF"/>
    <w:rsid w:val="00DC2A01"/>
    <w:rsid w:val="00DD6D29"/>
    <w:rsid w:val="00DF2528"/>
    <w:rsid w:val="00E20532"/>
    <w:rsid w:val="00E511AC"/>
    <w:rsid w:val="00E62BE2"/>
    <w:rsid w:val="00E83D03"/>
    <w:rsid w:val="00E947B7"/>
    <w:rsid w:val="00EE62FD"/>
    <w:rsid w:val="00F1265F"/>
    <w:rsid w:val="00F66741"/>
    <w:rsid w:val="00F71E28"/>
    <w:rsid w:val="00FB26E6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31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442"/>
    <w:rPr>
      <w:rFonts w:asciiTheme="majorHAnsi" w:eastAsiaTheme="majorEastAsia" w:hAnsiTheme="majorHAnsi" w:cstheme="majorBidi"/>
      <w:b/>
      <w:bCs/>
      <w:color w:val="002060"/>
      <w:sz w:val="28"/>
      <w:szCs w:val="28"/>
      <w:lang w:val="en-GB" w:eastAsia="fr-FR"/>
    </w:rPr>
  </w:style>
  <w:style w:type="paragraph" w:styleId="ListParagraph">
    <w:name w:val="List Paragraph"/>
    <w:basedOn w:val="Normal"/>
    <w:uiPriority w:val="34"/>
    <w:qFormat/>
    <w:rsid w:val="00901B0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40F24"/>
    <w:pPr>
      <w:shd w:val="clear" w:color="auto" w:fill="D9D9D9" w:themeFill="background1" w:themeFillShade="D9"/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40F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2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F2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2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F3"/>
    <w:rPr>
      <w:rFonts w:ascii="Tahoma" w:eastAsiaTheme="minorEastAsia" w:hAnsi="Tahoma" w:cs="Tahoma"/>
      <w:sz w:val="16"/>
      <w:szCs w:val="16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040"/>
    <w:pPr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040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650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1B"/>
    <w:pPr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1B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31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442"/>
    <w:rPr>
      <w:rFonts w:asciiTheme="majorHAnsi" w:eastAsiaTheme="majorEastAsia" w:hAnsiTheme="majorHAnsi" w:cstheme="majorBidi"/>
      <w:b/>
      <w:bCs/>
      <w:color w:val="002060"/>
      <w:sz w:val="28"/>
      <w:szCs w:val="28"/>
      <w:lang w:val="en-GB" w:eastAsia="fr-FR"/>
    </w:rPr>
  </w:style>
  <w:style w:type="paragraph" w:styleId="ListParagraph">
    <w:name w:val="List Paragraph"/>
    <w:basedOn w:val="Normal"/>
    <w:uiPriority w:val="34"/>
    <w:qFormat/>
    <w:rsid w:val="00901B0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40F24"/>
    <w:pPr>
      <w:shd w:val="clear" w:color="auto" w:fill="D9D9D9" w:themeFill="background1" w:themeFillShade="D9"/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40F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2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F2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2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F3"/>
    <w:rPr>
      <w:rFonts w:ascii="Tahoma" w:eastAsiaTheme="minorEastAsia" w:hAnsi="Tahoma" w:cs="Tahoma"/>
      <w:sz w:val="16"/>
      <w:szCs w:val="16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040"/>
    <w:pPr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040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650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1B"/>
    <w:pPr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1B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A2BA-E499-49E1-9EF2-B26A1B49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Axiom</dc:creator>
  <cp:lastModifiedBy>Axiom</cp:lastModifiedBy>
  <cp:revision>11</cp:revision>
  <cp:lastPrinted>2014-04-25T08:12:00Z</cp:lastPrinted>
  <dcterms:created xsi:type="dcterms:W3CDTF">2014-06-23T06:15:00Z</dcterms:created>
  <dcterms:modified xsi:type="dcterms:W3CDTF">2014-09-07T18:10:00Z</dcterms:modified>
</cp:coreProperties>
</file>