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F3734" w14:textId="196750E4" w:rsidR="005918DC" w:rsidRPr="00D94786" w:rsidRDefault="000922E6" w:rsidP="00156974">
      <w:pPr>
        <w:jc w:val="center"/>
        <w:rPr>
          <w:b/>
          <w:sz w:val="32"/>
        </w:rPr>
      </w:pPr>
      <w:r>
        <w:rPr>
          <w:b/>
          <w:sz w:val="32"/>
        </w:rPr>
        <w:t>Draft de CR MSC</w:t>
      </w:r>
      <w:r w:rsidR="00156974" w:rsidRPr="00D94786">
        <w:rPr>
          <w:b/>
          <w:sz w:val="32"/>
        </w:rPr>
        <w:t xml:space="preserve">WG – Réunion du </w:t>
      </w:r>
      <w:r w:rsidR="002A22EB">
        <w:rPr>
          <w:b/>
          <w:sz w:val="32"/>
        </w:rPr>
        <w:t>31</w:t>
      </w:r>
      <w:r w:rsidR="00156974" w:rsidRPr="00D94786">
        <w:rPr>
          <w:b/>
          <w:sz w:val="32"/>
        </w:rPr>
        <w:t>/0</w:t>
      </w:r>
      <w:r w:rsidR="002A22EB">
        <w:rPr>
          <w:b/>
          <w:sz w:val="32"/>
        </w:rPr>
        <w:t>7</w:t>
      </w:r>
      <w:r w:rsidR="00156974" w:rsidRPr="00D94786">
        <w:rPr>
          <w:b/>
          <w:sz w:val="32"/>
        </w:rPr>
        <w:t xml:space="preserve">/2019 </w:t>
      </w:r>
    </w:p>
    <w:p w14:paraId="14E597B7" w14:textId="77777777" w:rsidR="00156974" w:rsidRDefault="00156974">
      <w:pPr>
        <w:rPr>
          <w:i/>
        </w:rPr>
      </w:pPr>
    </w:p>
    <w:p w14:paraId="46FA0871" w14:textId="77777777" w:rsidR="007C562A" w:rsidRDefault="007C562A">
      <w:pPr>
        <w:rPr>
          <w:i/>
        </w:rPr>
      </w:pPr>
      <w:r w:rsidRPr="007C562A">
        <w:rPr>
          <w:b/>
          <w:i/>
        </w:rPr>
        <w:t>Lieu :</w:t>
      </w:r>
      <w:r>
        <w:rPr>
          <w:i/>
        </w:rPr>
        <w:t xml:space="preserve"> Salle de réunion OCHA</w:t>
      </w:r>
    </w:p>
    <w:p w14:paraId="0122C367" w14:textId="48C0CA92" w:rsidR="007C562A" w:rsidRPr="000D2652" w:rsidRDefault="00156974" w:rsidP="00156974">
      <w:pPr>
        <w:spacing w:after="0"/>
        <w:jc w:val="both"/>
        <w:rPr>
          <w:i/>
        </w:rPr>
      </w:pPr>
      <w:r w:rsidRPr="007C562A">
        <w:rPr>
          <w:b/>
          <w:i/>
        </w:rPr>
        <w:t xml:space="preserve">Participants : </w:t>
      </w:r>
      <w:r w:rsidR="000D2652">
        <w:rPr>
          <w:b/>
          <w:i/>
        </w:rPr>
        <w:t>(</w:t>
      </w:r>
      <w:r w:rsidR="000D2652" w:rsidRPr="000D2652">
        <w:rPr>
          <w:i/>
        </w:rPr>
        <w:t xml:space="preserve">voir liste de présence en annexe.) </w:t>
      </w:r>
    </w:p>
    <w:p w14:paraId="14BB8A3E" w14:textId="77777777" w:rsidR="002A22EB" w:rsidRPr="000D2652" w:rsidRDefault="002A22EB" w:rsidP="002A22EB">
      <w:pPr>
        <w:spacing w:after="0"/>
        <w:jc w:val="both"/>
      </w:pPr>
    </w:p>
    <w:p w14:paraId="50240D76" w14:textId="325C29C7" w:rsidR="007C562A" w:rsidRPr="002A22EB" w:rsidRDefault="007C562A" w:rsidP="002A22EB">
      <w:pPr>
        <w:spacing w:after="0"/>
        <w:jc w:val="both"/>
        <w:rPr>
          <w:b/>
          <w:i/>
        </w:rPr>
      </w:pPr>
      <w:r w:rsidRPr="002A22EB">
        <w:rPr>
          <w:b/>
          <w:i/>
        </w:rPr>
        <w:t xml:space="preserve">Ordre du jour : </w:t>
      </w:r>
    </w:p>
    <w:p w14:paraId="44F8B83A" w14:textId="6945203B" w:rsidR="002A22EB" w:rsidRPr="002A22EB" w:rsidRDefault="002A22EB" w:rsidP="002A22EB">
      <w:pPr>
        <w:pStyle w:val="Paragraphedeliste"/>
        <w:numPr>
          <w:ilvl w:val="0"/>
          <w:numId w:val="8"/>
        </w:numPr>
        <w:spacing w:after="0"/>
        <w:jc w:val="both"/>
      </w:pPr>
      <w:r w:rsidRPr="002A22EB">
        <w:t xml:space="preserve">Suivi des recommandations de la dernière réunion (OCHA) </w:t>
      </w:r>
    </w:p>
    <w:p w14:paraId="14C062FD" w14:textId="14678C8C" w:rsidR="002A22EB" w:rsidRPr="002A22EB" w:rsidRDefault="002A22EB" w:rsidP="002A22EB">
      <w:pPr>
        <w:pStyle w:val="Paragraphedeliste"/>
        <w:numPr>
          <w:ilvl w:val="0"/>
          <w:numId w:val="8"/>
        </w:numPr>
        <w:spacing w:after="0"/>
        <w:jc w:val="both"/>
      </w:pPr>
      <w:r w:rsidRPr="002A22EB">
        <w:t xml:space="preserve">Finalisation des </w:t>
      </w:r>
      <w:proofErr w:type="spellStart"/>
      <w:r w:rsidRPr="002A22EB">
        <w:t>TdR</w:t>
      </w:r>
      <w:proofErr w:type="spellEnd"/>
      <w:r w:rsidRPr="002A22EB">
        <w:t xml:space="preserve"> du MSCWG et du </w:t>
      </w:r>
      <w:proofErr w:type="gramStart"/>
      <w:r w:rsidRPr="002A22EB">
        <w:t>Dashboard  (</w:t>
      </w:r>
      <w:proofErr w:type="gramEnd"/>
      <w:r w:rsidRPr="002A22EB">
        <w:t>OCHA/Tous)</w:t>
      </w:r>
    </w:p>
    <w:p w14:paraId="33A23630" w14:textId="1270EEA3" w:rsidR="002A22EB" w:rsidRPr="002A22EB" w:rsidRDefault="002A22EB" w:rsidP="002A22EB">
      <w:pPr>
        <w:pStyle w:val="Paragraphedeliste"/>
        <w:numPr>
          <w:ilvl w:val="0"/>
          <w:numId w:val="8"/>
        </w:numPr>
        <w:spacing w:after="0"/>
        <w:jc w:val="both"/>
      </w:pPr>
      <w:r w:rsidRPr="002A22EB">
        <w:t>Présentation des principales recommandations de l’étude de faisabilité TM Diffa et validation de l’étude (REACH/Tous)</w:t>
      </w:r>
    </w:p>
    <w:p w14:paraId="7105A4B4" w14:textId="77777777" w:rsidR="002A22EB" w:rsidRPr="002A22EB" w:rsidRDefault="002A22EB" w:rsidP="002A22EB">
      <w:pPr>
        <w:spacing w:after="0"/>
        <w:ind w:firstLine="360"/>
        <w:jc w:val="both"/>
      </w:pPr>
      <w:r w:rsidRPr="002A22EB">
        <w:t xml:space="preserve">Divers : </w:t>
      </w:r>
    </w:p>
    <w:p w14:paraId="48E8E2E2" w14:textId="37ADE726" w:rsidR="007C562A" w:rsidRPr="002A22EB" w:rsidRDefault="002A22EB" w:rsidP="002A22EB">
      <w:pPr>
        <w:pStyle w:val="Paragraphedeliste"/>
        <w:numPr>
          <w:ilvl w:val="0"/>
          <w:numId w:val="8"/>
        </w:numPr>
        <w:spacing w:after="0"/>
        <w:jc w:val="both"/>
      </w:pPr>
      <w:r w:rsidRPr="002A22EB">
        <w:t>Redynamisation du groupe de réflexion faisabilité TM à Tillabéri (HCR/Tous)</w:t>
      </w:r>
    </w:p>
    <w:p w14:paraId="7B62368B" w14:textId="77777777" w:rsidR="002A22EB" w:rsidRPr="002A22EB" w:rsidRDefault="002A22EB" w:rsidP="007C562A">
      <w:pPr>
        <w:spacing w:after="0"/>
        <w:jc w:val="both"/>
        <w:rPr>
          <w:b/>
          <w:i/>
        </w:rPr>
      </w:pPr>
    </w:p>
    <w:p w14:paraId="2954E13A" w14:textId="697DAF83" w:rsidR="00156974" w:rsidRDefault="002A22EB" w:rsidP="00156974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Suivi des recommandations de la dernière réunion</w:t>
      </w:r>
      <w:r w:rsidR="000D2652">
        <w:rPr>
          <w:b/>
        </w:rPr>
        <w:t xml:space="preserve"> juin</w:t>
      </w:r>
      <w:r>
        <w:rPr>
          <w:b/>
        </w:rPr>
        <w:t xml:space="preserve"> (OCHA)</w:t>
      </w:r>
    </w:p>
    <w:p w14:paraId="221D186B" w14:textId="75FAD16F" w:rsidR="002A22EB" w:rsidRPr="002A22EB" w:rsidRDefault="002A22EB" w:rsidP="002A22EB">
      <w:pPr>
        <w:pStyle w:val="Paragraphedeliste"/>
        <w:numPr>
          <w:ilvl w:val="1"/>
          <w:numId w:val="1"/>
        </w:numPr>
        <w:jc w:val="both"/>
      </w:pPr>
      <w:r w:rsidRPr="002A22EB">
        <w:rPr>
          <w:i/>
        </w:rPr>
        <w:t>Validation du Dashboard du 1</w:t>
      </w:r>
      <w:proofErr w:type="gramStart"/>
      <w:r w:rsidRPr="002A22EB">
        <w:rPr>
          <w:i/>
          <w:vertAlign w:val="superscript"/>
        </w:rPr>
        <w:t>er</w:t>
      </w:r>
      <w:r w:rsidR="00BC7D92">
        <w:rPr>
          <w:i/>
          <w:vertAlign w:val="superscript"/>
        </w:rPr>
        <w:t xml:space="preserve"> </w:t>
      </w:r>
      <w:r w:rsidRPr="002A22EB">
        <w:rPr>
          <w:i/>
        </w:rPr>
        <w:t xml:space="preserve"> </w:t>
      </w:r>
      <w:r w:rsidR="000D2652">
        <w:rPr>
          <w:i/>
        </w:rPr>
        <w:t>semestre</w:t>
      </w:r>
      <w:proofErr w:type="gramEnd"/>
      <w:r w:rsidR="000D2652">
        <w:rPr>
          <w:i/>
        </w:rPr>
        <w:t xml:space="preserve"> : </w:t>
      </w:r>
      <w:r w:rsidR="000D2652" w:rsidRPr="009F02D6">
        <w:rPr>
          <w:b/>
        </w:rPr>
        <w:t xml:space="preserve">Renvoyer la matrice à tous les acteurs afin d’intégrer les observations énoncées dans le CR .    </w:t>
      </w:r>
      <w:r w:rsidR="000D2652" w:rsidRPr="009F02D6">
        <w:rPr>
          <w:rStyle w:val="Marquedecommentaire"/>
          <w:sz w:val="22"/>
          <w:szCs w:val="22"/>
        </w:rPr>
        <w:t/>
      </w:r>
      <w:r w:rsidR="000D2652" w:rsidRPr="009F02D6">
        <w:t xml:space="preserve">En ajoutant une note permettant de guider </w:t>
      </w:r>
      <w:proofErr w:type="gramStart"/>
      <w:r w:rsidR="000D2652" w:rsidRPr="009F02D6">
        <w:t>les acteurs sur</w:t>
      </w:r>
      <w:proofErr w:type="gramEnd"/>
      <w:r w:rsidR="000D2652" w:rsidRPr="009F02D6">
        <w:t xml:space="preserve"> « comment remplir la matrice », et quelles informations sont attendus exactement</w:t>
      </w:r>
      <w:r w:rsidR="00EE3B91">
        <w:t>.</w:t>
      </w:r>
      <w:r w:rsidR="000D2652">
        <w:t xml:space="preserve"> Données reçues le Dashboard sera finalisé </w:t>
      </w:r>
    </w:p>
    <w:p w14:paraId="461D7E36" w14:textId="06844EFE" w:rsidR="002A22EB" w:rsidRPr="002A22EB" w:rsidRDefault="002A22EB" w:rsidP="000D2652">
      <w:pPr>
        <w:pStyle w:val="Paragraphedeliste"/>
        <w:numPr>
          <w:ilvl w:val="1"/>
          <w:numId w:val="1"/>
        </w:numPr>
        <w:jc w:val="both"/>
      </w:pPr>
      <w:r w:rsidRPr="002A22EB">
        <w:rPr>
          <w:i/>
        </w:rPr>
        <w:t>Revue et finalisation des TDRs 2019 du 2019 du MSCWG</w:t>
      </w:r>
      <w:r w:rsidR="000D2652">
        <w:rPr>
          <w:i/>
        </w:rPr>
        <w:t xml:space="preserve"> : </w:t>
      </w:r>
      <w:r w:rsidR="000D2652" w:rsidRPr="007C22E4">
        <w:t xml:space="preserve">Partage de TDRs aux membres du MSCWG pour les dernières observations et la prise en compte de celles partagées et discutées lors de la réunion.  </w:t>
      </w:r>
      <w:r w:rsidR="000D2652">
        <w:t xml:space="preserve">Fait sera discuté au </w:t>
      </w:r>
      <w:r w:rsidR="00EE3B91">
        <w:t>point (</w:t>
      </w:r>
      <w:r w:rsidR="00363364">
        <w:t>2</w:t>
      </w:r>
      <w:r w:rsidR="00EE3B91">
        <w:t>) de l’ordre du jour ci-dessous.</w:t>
      </w:r>
    </w:p>
    <w:p w14:paraId="67CFA415" w14:textId="4A297754" w:rsidR="002A22EB" w:rsidRPr="002A22EB" w:rsidRDefault="002A22EB" w:rsidP="002A22EB">
      <w:pPr>
        <w:pStyle w:val="Paragraphedeliste"/>
        <w:numPr>
          <w:ilvl w:val="1"/>
          <w:numId w:val="1"/>
        </w:numPr>
        <w:jc w:val="both"/>
      </w:pPr>
      <w:r w:rsidRPr="002A22EB">
        <w:rPr>
          <w:i/>
        </w:rPr>
        <w:t>Présentation des résultats de l’étude de faisabilité TM de Diffa &amp; Discussions</w:t>
      </w:r>
      <w:r>
        <w:t xml:space="preserve"> – les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sheets</w:t>
      </w:r>
      <w:proofErr w:type="spellEnd"/>
      <w:r>
        <w:t xml:space="preserve"> </w:t>
      </w:r>
      <w:r w:rsidR="00363364">
        <w:t xml:space="preserve">par commune </w:t>
      </w:r>
      <w:r>
        <w:t>ont été partagés</w:t>
      </w:r>
      <w:r w:rsidR="00EE3B91">
        <w:t xml:space="preserve"> par OCHA le 31 juillet</w:t>
      </w:r>
      <w:r w:rsidR="00363364">
        <w:t>. Voir point (3) ci-dessous.</w:t>
      </w:r>
    </w:p>
    <w:p w14:paraId="671841BC" w14:textId="60E4D618" w:rsidR="000D2652" w:rsidRDefault="002A22EB" w:rsidP="000D2652">
      <w:pPr>
        <w:pStyle w:val="Paragraphedeliste"/>
        <w:numPr>
          <w:ilvl w:val="1"/>
          <w:numId w:val="1"/>
        </w:numPr>
        <w:jc w:val="both"/>
      </w:pPr>
      <w:r w:rsidRPr="00EE3B91">
        <w:rPr>
          <w:i/>
        </w:rPr>
        <w:t>Divers</w:t>
      </w:r>
      <w:r w:rsidR="000D2652">
        <w:rPr>
          <w:i/>
        </w:rPr>
        <w:t> </w:t>
      </w:r>
      <w:r w:rsidR="000D2652">
        <w:t>:</w:t>
      </w:r>
      <w:r w:rsidR="00EE3B91">
        <w:t xml:space="preserve"> </w:t>
      </w:r>
    </w:p>
    <w:p w14:paraId="5640CB0A" w14:textId="417A667C" w:rsidR="000D2652" w:rsidRPr="00EF04B8" w:rsidRDefault="000D2652" w:rsidP="000D2652">
      <w:pPr>
        <w:pStyle w:val="Paragraphedeliste"/>
        <w:numPr>
          <w:ilvl w:val="2"/>
          <w:numId w:val="1"/>
        </w:numPr>
        <w:jc w:val="both"/>
      </w:pPr>
      <w:r w:rsidRPr="00EF04B8">
        <w:t xml:space="preserve">Réactivation du comité ad hoc sur l’élaboration des TDRs de l’étude de faisabilité de CBT dans la région de </w:t>
      </w:r>
      <w:r>
        <w:t>Tillabéri</w:t>
      </w:r>
      <w:r w:rsidRPr="00EF04B8">
        <w:t xml:space="preserve">- Tahoua (OCHA et HCR pour le suivi). </w:t>
      </w:r>
      <w:proofErr w:type="spellStart"/>
      <w:r w:rsidRPr="000D2652">
        <w:rPr>
          <w:b/>
        </w:rPr>
        <w:t>TdR</w:t>
      </w:r>
      <w:proofErr w:type="spellEnd"/>
      <w:r w:rsidRPr="000D2652">
        <w:rPr>
          <w:b/>
        </w:rPr>
        <w:t xml:space="preserve"> finalisé le groupe doit convoquer une réunion et présenter un plan de travail et budget</w:t>
      </w:r>
      <w:r>
        <w:t xml:space="preserve">. </w:t>
      </w:r>
    </w:p>
    <w:p w14:paraId="61AEA4D6" w14:textId="1AB8662F" w:rsidR="000D2652" w:rsidRDefault="000D2652" w:rsidP="000D2652">
      <w:pPr>
        <w:pStyle w:val="Paragraphedeliste"/>
        <w:numPr>
          <w:ilvl w:val="2"/>
          <w:numId w:val="1"/>
        </w:numPr>
        <w:jc w:val="both"/>
      </w:pPr>
      <w:r w:rsidRPr="00EF04B8">
        <w:t xml:space="preserve">L’établissement le plus rapidement possible d’un plan de travail pour le MSCWG. Ceci faciliterait également l’identification des </w:t>
      </w:r>
      <w:proofErr w:type="spellStart"/>
      <w:r w:rsidRPr="00EF04B8">
        <w:t>co</w:t>
      </w:r>
      <w:proofErr w:type="spellEnd"/>
      <w:r w:rsidRPr="00EF04B8">
        <w:t>-facilitateurs en fonction des thématiques à travailler</w:t>
      </w:r>
      <w:r>
        <w:t xml:space="preserve">. </w:t>
      </w:r>
      <w:r w:rsidRPr="000D2652">
        <w:rPr>
          <w:b/>
          <w:i/>
        </w:rPr>
        <w:t xml:space="preserve">Pas encore fait </w:t>
      </w:r>
      <w:proofErr w:type="gramStart"/>
      <w:r w:rsidRPr="000D2652">
        <w:rPr>
          <w:b/>
          <w:i/>
        </w:rPr>
        <w:t>reporté</w:t>
      </w:r>
      <w:proofErr w:type="gramEnd"/>
      <w:r>
        <w:t xml:space="preserve"> </w:t>
      </w:r>
    </w:p>
    <w:p w14:paraId="23EF4EE4" w14:textId="77777777" w:rsidR="000D2652" w:rsidRDefault="000D2652" w:rsidP="000D2652">
      <w:pPr>
        <w:pStyle w:val="Paragraphedeliste"/>
        <w:ind w:left="2340"/>
        <w:jc w:val="both"/>
      </w:pPr>
    </w:p>
    <w:p w14:paraId="5DA14DE1" w14:textId="708B0783" w:rsidR="002A22EB" w:rsidRPr="002A22EB" w:rsidRDefault="002A22EB" w:rsidP="002A22EB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2A22EB">
        <w:rPr>
          <w:b/>
        </w:rPr>
        <w:t xml:space="preserve">Finalisation des </w:t>
      </w:r>
      <w:proofErr w:type="spellStart"/>
      <w:r w:rsidRPr="002A22EB">
        <w:rPr>
          <w:b/>
        </w:rPr>
        <w:t>TdR</w:t>
      </w:r>
      <w:proofErr w:type="spellEnd"/>
      <w:r w:rsidRPr="002A22EB">
        <w:rPr>
          <w:b/>
        </w:rPr>
        <w:t xml:space="preserve"> du MSCWG et du Dashboard (OCHA/Tous)</w:t>
      </w:r>
    </w:p>
    <w:p w14:paraId="20AC2E38" w14:textId="15BF9C27" w:rsidR="002A22EB" w:rsidRDefault="002A22EB" w:rsidP="002A22EB">
      <w:pPr>
        <w:pStyle w:val="Paragraphedeliste"/>
        <w:numPr>
          <w:ilvl w:val="1"/>
          <w:numId w:val="1"/>
        </w:numPr>
        <w:spacing w:after="0"/>
        <w:jc w:val="both"/>
      </w:pPr>
      <w:r>
        <w:t xml:space="preserve">Le </w:t>
      </w:r>
      <w:proofErr w:type="spellStart"/>
      <w:r>
        <w:t>dashboard</w:t>
      </w:r>
      <w:proofErr w:type="spellEnd"/>
      <w:r>
        <w:t xml:space="preserve"> a été mis à jour après la dernière r</w:t>
      </w:r>
      <w:r w:rsidR="00EE3B91">
        <w:t>éunion, pour s’assurer d’une approche cohérente (</w:t>
      </w:r>
      <w:proofErr w:type="spellStart"/>
      <w:r w:rsidR="00EE3B91">
        <w:t>currency</w:t>
      </w:r>
      <w:proofErr w:type="spellEnd"/>
      <w:r w:rsidR="00EE3B91">
        <w:t xml:space="preserve"> </w:t>
      </w:r>
      <w:proofErr w:type="spellStart"/>
      <w:r w:rsidR="00EE3B91">
        <w:t>etc</w:t>
      </w:r>
      <w:proofErr w:type="spellEnd"/>
      <w:r w:rsidR="00EE3B91">
        <w:t xml:space="preserve">) et ajouter les données pour la réalisation du 2eme </w:t>
      </w:r>
      <w:proofErr w:type="gramStart"/>
      <w:r w:rsidR="00BC7D92">
        <w:t xml:space="preserve">semestre </w:t>
      </w:r>
      <w:r w:rsidR="00EE3B91">
        <w:t xml:space="preserve"> de</w:t>
      </w:r>
      <w:proofErr w:type="gramEnd"/>
      <w:r w:rsidR="00EE3B91">
        <w:t xml:space="preserve"> 2019.</w:t>
      </w:r>
    </w:p>
    <w:p w14:paraId="630A028F" w14:textId="26F61198" w:rsidR="00EE3B91" w:rsidRPr="006965F3" w:rsidRDefault="00EE3B91" w:rsidP="002A22EB">
      <w:pPr>
        <w:pStyle w:val="Paragraphedeliste"/>
        <w:numPr>
          <w:ilvl w:val="1"/>
          <w:numId w:val="1"/>
        </w:numPr>
        <w:spacing w:after="0"/>
        <w:jc w:val="both"/>
        <w:rPr>
          <w:b/>
        </w:rPr>
      </w:pPr>
      <w:r>
        <w:t xml:space="preserve">IRC et ACF ont constaté que quelques-uns de leurs projets n’est pas encore pris en compte dans le </w:t>
      </w:r>
      <w:proofErr w:type="spellStart"/>
      <w:r>
        <w:t>dashboard</w:t>
      </w:r>
      <w:proofErr w:type="spellEnd"/>
      <w:r>
        <w:t xml:space="preserve">. </w:t>
      </w:r>
      <w:r w:rsidRPr="006965F3">
        <w:rPr>
          <w:b/>
        </w:rPr>
        <w:t>OCHA va leur partager la matrice XLS de nouveau pour qu’ils puissent ajouter ces projets.</w:t>
      </w:r>
    </w:p>
    <w:p w14:paraId="490DBA0D" w14:textId="73BB512C" w:rsidR="00EE3B91" w:rsidRPr="006965F3" w:rsidRDefault="00897AFD" w:rsidP="002A22EB">
      <w:pPr>
        <w:pStyle w:val="Paragraphedeliste"/>
        <w:numPr>
          <w:ilvl w:val="1"/>
          <w:numId w:val="1"/>
        </w:numPr>
        <w:spacing w:after="0"/>
        <w:jc w:val="both"/>
        <w:rPr>
          <w:b/>
        </w:rPr>
      </w:pPr>
      <w:r w:rsidRPr="006965F3">
        <w:rPr>
          <w:b/>
        </w:rPr>
        <w:t>Il serait utile de rajouter l</w:t>
      </w:r>
      <w:r w:rsidR="0052749E" w:rsidRPr="006965F3">
        <w:rPr>
          <w:b/>
        </w:rPr>
        <w:t>e</w:t>
      </w:r>
      <w:r w:rsidRPr="006965F3">
        <w:rPr>
          <w:b/>
        </w:rPr>
        <w:t xml:space="preserve"> mécanisme de distribution pour chaque projet de cash, dans la prochaine mise à jour de la matrice/Dashboard. Les montants par région peuvent être incorporés dans la carte, et un diagramme des mécanismes de distribution peut être ajouté.</w:t>
      </w:r>
    </w:p>
    <w:p w14:paraId="4051DE43" w14:textId="7A71E016" w:rsidR="00897AFD" w:rsidRPr="006965F3" w:rsidRDefault="00897AFD" w:rsidP="002A22EB">
      <w:pPr>
        <w:pStyle w:val="Paragraphedeliste"/>
        <w:numPr>
          <w:ilvl w:val="1"/>
          <w:numId w:val="1"/>
        </w:numPr>
        <w:spacing w:after="0"/>
        <w:jc w:val="both"/>
        <w:rPr>
          <w:b/>
        </w:rPr>
      </w:pPr>
      <w:r>
        <w:lastRenderedPageBreak/>
        <w:t>La définition de « </w:t>
      </w:r>
      <w:proofErr w:type="spellStart"/>
      <w:r>
        <w:t>restricted</w:t>
      </w:r>
      <w:proofErr w:type="spellEnd"/>
      <w:r>
        <w:t>/</w:t>
      </w:r>
      <w:proofErr w:type="spellStart"/>
      <w:r>
        <w:t>unrestricted</w:t>
      </w:r>
      <w:proofErr w:type="spellEnd"/>
      <w:r>
        <w:t xml:space="preserve"> » </w:t>
      </w:r>
      <w:r w:rsidR="0052749E">
        <w:t xml:space="preserve">n’a pas été appliqué dans le </w:t>
      </w:r>
      <w:r w:rsidR="00BC7D92">
        <w:t>même</w:t>
      </w:r>
      <w:r w:rsidR="0052749E">
        <w:t xml:space="preserve"> sens par tous les partenaires. Certains ont compris « </w:t>
      </w:r>
      <w:proofErr w:type="spellStart"/>
      <w:r w:rsidR="0052749E">
        <w:t>restricted</w:t>
      </w:r>
      <w:proofErr w:type="spellEnd"/>
      <w:r w:rsidR="0052749E">
        <w:t xml:space="preserve"> » </w:t>
      </w:r>
      <w:r w:rsidR="0022314C">
        <w:t>en tant qu’un</w:t>
      </w:r>
      <w:r w:rsidR="0052749E">
        <w:t xml:space="preserve"> but spécifique d’un projet, par exemple pour couvrir les couts relatifs à la santé, et d’autres ont compris « </w:t>
      </w:r>
      <w:proofErr w:type="spellStart"/>
      <w:r w:rsidR="0052749E">
        <w:t>restricted</w:t>
      </w:r>
      <w:proofErr w:type="spellEnd"/>
      <w:r w:rsidR="0052749E">
        <w:t> » en tant que les restrictions imposées sur l’utilise de</w:t>
      </w:r>
      <w:r w:rsidR="006965F3">
        <w:t xml:space="preserve"> l’assistance, i.e. le fait qu’u</w:t>
      </w:r>
      <w:r w:rsidR="0052749E">
        <w:t xml:space="preserve">n voucher oblige au bénéficiaire d’acheter des produits spécifiques ou chez des commerçants spécifiques. </w:t>
      </w:r>
      <w:r w:rsidR="006965F3" w:rsidRPr="006965F3">
        <w:rPr>
          <w:b/>
        </w:rPr>
        <w:t xml:space="preserve">Indiquer dans un onglet la </w:t>
      </w:r>
      <w:r w:rsidR="0052749E" w:rsidRPr="006965F3">
        <w:rPr>
          <w:b/>
        </w:rPr>
        <w:t xml:space="preserve">définition CaLP </w:t>
      </w:r>
      <w:r w:rsidR="006965F3" w:rsidRPr="006965F3">
        <w:rPr>
          <w:b/>
        </w:rPr>
        <w:t>de « </w:t>
      </w:r>
      <w:proofErr w:type="spellStart"/>
      <w:r w:rsidR="006965F3" w:rsidRPr="006965F3">
        <w:rPr>
          <w:b/>
        </w:rPr>
        <w:t>restricted</w:t>
      </w:r>
      <w:proofErr w:type="spellEnd"/>
      <w:r w:rsidR="006965F3" w:rsidRPr="006965F3">
        <w:rPr>
          <w:b/>
        </w:rPr>
        <w:t>/</w:t>
      </w:r>
      <w:proofErr w:type="spellStart"/>
      <w:r w:rsidR="006965F3" w:rsidRPr="006965F3">
        <w:rPr>
          <w:b/>
        </w:rPr>
        <w:t>unrestricted</w:t>
      </w:r>
      <w:proofErr w:type="spellEnd"/>
      <w:r w:rsidR="006965F3" w:rsidRPr="006965F3">
        <w:rPr>
          <w:b/>
        </w:rPr>
        <w:t> </w:t>
      </w:r>
      <w:proofErr w:type="gramStart"/>
      <w:r w:rsidR="006965F3" w:rsidRPr="006965F3">
        <w:rPr>
          <w:b/>
        </w:rPr>
        <w:t xml:space="preserve">» </w:t>
      </w:r>
      <w:r w:rsidR="0052749E" w:rsidRPr="006965F3">
        <w:rPr>
          <w:b/>
        </w:rPr>
        <w:t xml:space="preserve"> </w:t>
      </w:r>
      <w:r w:rsidR="006965F3" w:rsidRPr="006965F3">
        <w:rPr>
          <w:b/>
        </w:rPr>
        <w:t>(</w:t>
      </w:r>
      <w:proofErr w:type="gramEnd"/>
      <w:r w:rsidR="006965F3" w:rsidRPr="006965F3">
        <w:rPr>
          <w:b/>
        </w:rPr>
        <w:t xml:space="preserve">qui focalise sur l’utilisation) </w:t>
      </w:r>
      <w:r w:rsidR="0052749E" w:rsidRPr="006965F3">
        <w:rPr>
          <w:b/>
        </w:rPr>
        <w:t>dans la prochaine mise à jour de la matrice.</w:t>
      </w:r>
    </w:p>
    <w:p w14:paraId="1CCDD35B" w14:textId="1ECD46EB" w:rsidR="002A22EB" w:rsidRDefault="00EE3B91" w:rsidP="00EE3B91">
      <w:pPr>
        <w:pStyle w:val="Paragraphedeliste"/>
        <w:numPr>
          <w:ilvl w:val="1"/>
          <w:numId w:val="1"/>
        </w:numPr>
        <w:jc w:val="both"/>
      </w:pPr>
      <w:r>
        <w:t>O</w:t>
      </w:r>
      <w:r w:rsidR="00DA7156">
        <w:t>CH</w:t>
      </w:r>
      <w:r>
        <w:t xml:space="preserve">A a partagé les </w:t>
      </w:r>
      <w:proofErr w:type="spellStart"/>
      <w:r>
        <w:t>TdRs</w:t>
      </w:r>
      <w:proofErr w:type="spellEnd"/>
      <w:r>
        <w:t xml:space="preserve"> et intégré les inputs reçus ; un travail de rédaction a été fait pour rendre les </w:t>
      </w:r>
      <w:proofErr w:type="spellStart"/>
      <w:r>
        <w:t>TdRs</w:t>
      </w:r>
      <w:proofErr w:type="spellEnd"/>
      <w:r>
        <w:t xml:space="preserve"> plus succincts, il reste simplement à les valider.</w:t>
      </w:r>
      <w:r w:rsidR="0052749E">
        <w:t xml:space="preserve"> OCHA va partager les </w:t>
      </w:r>
      <w:proofErr w:type="spellStart"/>
      <w:r w:rsidR="0052749E">
        <w:t>TdR</w:t>
      </w:r>
      <w:r w:rsidR="006965F3">
        <w:t>s</w:t>
      </w:r>
      <w:proofErr w:type="spellEnd"/>
      <w:r w:rsidR="006965F3">
        <w:t xml:space="preserve"> après la réunion, pour d’éventuels inputs. </w:t>
      </w:r>
    </w:p>
    <w:p w14:paraId="4042999E" w14:textId="77777777" w:rsidR="006965F3" w:rsidRDefault="006965F3" w:rsidP="006965F3">
      <w:pPr>
        <w:pStyle w:val="Paragraphedeliste"/>
        <w:ind w:left="1440"/>
        <w:jc w:val="both"/>
      </w:pPr>
    </w:p>
    <w:p w14:paraId="69229208" w14:textId="77777777" w:rsidR="0052749E" w:rsidRPr="0052749E" w:rsidRDefault="0052749E" w:rsidP="0052749E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52749E">
        <w:rPr>
          <w:b/>
        </w:rPr>
        <w:t>Présentation des principales recommandations de l’étude de faisabilité TM Diffa et validation de l’étude (REACH/Tous)</w:t>
      </w:r>
    </w:p>
    <w:p w14:paraId="605FBDE5" w14:textId="2E2BFDA3" w:rsidR="0052749E" w:rsidRDefault="0090784E" w:rsidP="0052749E">
      <w:pPr>
        <w:pStyle w:val="Paragraphedeliste"/>
        <w:numPr>
          <w:ilvl w:val="1"/>
          <w:numId w:val="1"/>
        </w:numPr>
        <w:jc w:val="both"/>
      </w:pPr>
      <w:r>
        <w:t>Un groupe restreint</w:t>
      </w:r>
      <w:r w:rsidR="0022314C">
        <w:t xml:space="preserve"> a travaill</w:t>
      </w:r>
      <w:r>
        <w:t>é</w:t>
      </w:r>
      <w:r w:rsidR="0022314C">
        <w:t xml:space="preserve"> ensembles sur</w:t>
      </w:r>
      <w:r w:rsidR="006965F3">
        <w:t xml:space="preserve"> les recommandations de l’étude : </w:t>
      </w:r>
      <w:r w:rsidR="0022314C">
        <w:t>REACH, PAM, OCHA, IRC</w:t>
      </w:r>
      <w:r w:rsidR="00B008BC">
        <w:t xml:space="preserve">, </w:t>
      </w:r>
    </w:p>
    <w:p w14:paraId="759EC39A" w14:textId="7668CB88" w:rsidR="0022314C" w:rsidRDefault="0022314C" w:rsidP="0052749E">
      <w:pPr>
        <w:pStyle w:val="Paragraphedeliste"/>
        <w:numPr>
          <w:ilvl w:val="1"/>
          <w:numId w:val="1"/>
        </w:numPr>
        <w:jc w:val="both"/>
      </w:pPr>
      <w:r>
        <w:t xml:space="preserve">Plusieurs recommandations transversales (e.g. attention au taux </w:t>
      </w:r>
      <w:bookmarkStart w:id="0" w:name="_GoBack"/>
      <w:bookmarkEnd w:id="0"/>
      <w:r>
        <w:t>d’échange, les conséquences de la situation sécuritaire, l’importance de la sensibilisation, le besoin de coordination entre les partenaires) ont été élaborées</w:t>
      </w:r>
      <w:r w:rsidR="0090784E">
        <w:t xml:space="preserve">. En plus, on a préparé les </w:t>
      </w:r>
      <w:proofErr w:type="spellStart"/>
      <w:r w:rsidR="0090784E">
        <w:t>factsheets</w:t>
      </w:r>
      <w:proofErr w:type="spellEnd"/>
      <w:r w:rsidR="0090784E">
        <w:t xml:space="preserve"> plus détaillées pour chaque localité couverte par l’étude. Les documents ont déjà été partagés aux membres du MSCWG par OCHA</w:t>
      </w:r>
      <w:r w:rsidR="004719D4">
        <w:t>.</w:t>
      </w:r>
    </w:p>
    <w:p w14:paraId="3882CF7B" w14:textId="47072A27" w:rsidR="0090784E" w:rsidRDefault="003C6C80" w:rsidP="0052749E">
      <w:pPr>
        <w:pStyle w:val="Paragraphedeliste"/>
        <w:numPr>
          <w:ilvl w:val="1"/>
          <w:numId w:val="1"/>
        </w:numPr>
        <w:jc w:val="both"/>
      </w:pPr>
      <w:r>
        <w:t xml:space="preserve">Coordination – théoriquement la coordination pourrait se faire à travers </w:t>
      </w:r>
      <w:proofErr w:type="gramStart"/>
      <w:r>
        <w:t>le sous</w:t>
      </w:r>
      <w:proofErr w:type="gramEnd"/>
      <w:r>
        <w:t xml:space="preserve"> WG de cash à Diffa. Ce groupe n’est pas encore établi mais dans le futur sera un forum pour cette action.</w:t>
      </w:r>
    </w:p>
    <w:p w14:paraId="78E8EE4F" w14:textId="7FBE75C4" w:rsidR="003C6C80" w:rsidRDefault="003C6C80" w:rsidP="0052749E">
      <w:pPr>
        <w:pStyle w:val="Paragraphedeliste"/>
        <w:numPr>
          <w:ilvl w:val="1"/>
          <w:numId w:val="1"/>
        </w:numPr>
        <w:jc w:val="both"/>
      </w:pPr>
      <w:r>
        <w:t xml:space="preserve">Aspects multisectoriels de l’étude – l’étude s’appelle « étude de la faisabilité du transfert monétaire multisectoriel à Diffa » mais ne contient pas des recommandations forcement </w:t>
      </w:r>
      <w:proofErr w:type="gramStart"/>
      <w:r>
        <w:t>liées</w:t>
      </w:r>
      <w:proofErr w:type="gramEnd"/>
      <w:r>
        <w:t xml:space="preserve"> à l’assistance multisectoriel. </w:t>
      </w:r>
    </w:p>
    <w:p w14:paraId="7D4E6177" w14:textId="341F5343" w:rsidR="003C6C80" w:rsidRDefault="003C6C80" w:rsidP="0052749E">
      <w:pPr>
        <w:pStyle w:val="Paragraphedeliste"/>
        <w:numPr>
          <w:ilvl w:val="1"/>
          <w:numId w:val="1"/>
        </w:numPr>
        <w:jc w:val="both"/>
      </w:pPr>
      <w:r>
        <w:t xml:space="preserve">Définition de ménage – </w:t>
      </w:r>
      <w:r w:rsidR="00D00BF5">
        <w:t xml:space="preserve">on a discuté </w:t>
      </w:r>
      <w:r w:rsidR="00165CF6">
        <w:t>les différentes options</w:t>
      </w:r>
      <w:r w:rsidR="00D00BF5">
        <w:t xml:space="preserve"> pour la définition du ménage, y compris les implications pour les ménages de 1-2 personnes, et </w:t>
      </w:r>
      <w:r w:rsidR="007947B3">
        <w:t>p</w:t>
      </w:r>
      <w:r w:rsidR="00D00BF5">
        <w:t xml:space="preserve">our les ménages polygames, </w:t>
      </w:r>
      <w:r w:rsidR="007947B3">
        <w:t>la</w:t>
      </w:r>
      <w:r w:rsidR="00D00BF5">
        <w:t xml:space="preserve"> possibilité de designer les femmes come « récipiendaires » au lieu de ménages en tant que tel</w:t>
      </w:r>
      <w:r w:rsidR="00363364">
        <w:t>s</w:t>
      </w:r>
      <w:r w:rsidR="00D00BF5">
        <w:t>. Ceci est une question qui mérite des discussions plus approfondies avec le cluster Protection.</w:t>
      </w:r>
    </w:p>
    <w:p w14:paraId="1AF63885" w14:textId="0D75D8F6" w:rsidR="003C6C80" w:rsidRDefault="003C6C80" w:rsidP="0052749E">
      <w:pPr>
        <w:pStyle w:val="Paragraphedeliste"/>
        <w:numPr>
          <w:ilvl w:val="1"/>
          <w:numId w:val="1"/>
        </w:numPr>
        <w:jc w:val="both"/>
      </w:pPr>
      <w:r>
        <w:t xml:space="preserve">Genre – il est suggéré </w:t>
      </w:r>
      <w:r w:rsidR="00363364">
        <w:t xml:space="preserve">aux acteurs TM </w:t>
      </w:r>
      <w:r>
        <w:t xml:space="preserve">d’analyser les impacts potentiels de l’assistance </w:t>
      </w:r>
      <w:r w:rsidR="00363364">
        <w:t>TM</w:t>
      </w:r>
      <w:r>
        <w:t xml:space="preserve"> sur les ménages en termes de genre, avant que l’assistance commence.</w:t>
      </w:r>
    </w:p>
    <w:p w14:paraId="40F18969" w14:textId="4B873206" w:rsidR="003C6C80" w:rsidRPr="00363364" w:rsidRDefault="00363364" w:rsidP="0052749E">
      <w:pPr>
        <w:pStyle w:val="Paragraphedeliste"/>
        <w:numPr>
          <w:ilvl w:val="1"/>
          <w:numId w:val="1"/>
        </w:numPr>
        <w:jc w:val="both"/>
      </w:pPr>
      <w:r w:rsidRPr="00363364">
        <w:t xml:space="preserve">Chevauchements entre les acteurs – </w:t>
      </w:r>
      <w:r w:rsidR="00DA7156">
        <w:t xml:space="preserve">les possibles </w:t>
      </w:r>
      <w:r w:rsidRPr="00363364">
        <w:t xml:space="preserve">défis </w:t>
      </w:r>
      <w:proofErr w:type="gramStart"/>
      <w:r w:rsidR="00DA7156">
        <w:t xml:space="preserve">restent </w:t>
      </w:r>
      <w:r w:rsidRPr="00363364">
        <w:t xml:space="preserve"> de</w:t>
      </w:r>
      <w:proofErr w:type="gramEnd"/>
      <w:r w:rsidRPr="00363364">
        <w:t xml:space="preserve"> possibles chevauchements entre les listes de bénéficiaires des différents acteurs. </w:t>
      </w:r>
      <w:proofErr w:type="gramStart"/>
      <w:r w:rsidR="00DA7156">
        <w:t>L’</w:t>
      </w:r>
      <w:r w:rsidRPr="00363364">
        <w:t xml:space="preserve"> expériences</w:t>
      </w:r>
      <w:proofErr w:type="gramEnd"/>
      <w:r w:rsidRPr="00363364">
        <w:t xml:space="preserve"> des autres pays ou on a pu mettre en œuvre des bases de données communes, la biométrie </w:t>
      </w:r>
      <w:proofErr w:type="spellStart"/>
      <w:r w:rsidRPr="00363364">
        <w:t>etc</w:t>
      </w:r>
      <w:proofErr w:type="spellEnd"/>
      <w:r w:rsidR="00DA7156">
        <w:t xml:space="preserve"> a été partagé</w:t>
      </w:r>
      <w:r w:rsidR="009A4B61">
        <w:t>.</w:t>
      </w:r>
      <w:r w:rsidR="00DA7156">
        <w:t xml:space="preserve"> </w:t>
      </w:r>
      <w:r w:rsidR="009A4B61">
        <w:t>L</w:t>
      </w:r>
      <w:r w:rsidRPr="00363364">
        <w:t>e contexte d</w:t>
      </w:r>
      <w:r w:rsidR="00DA7156">
        <w:t>u</w:t>
      </w:r>
      <w:r w:rsidRPr="00363364">
        <w:t xml:space="preserve"> Niger </w:t>
      </w:r>
      <w:r w:rsidR="009A4B61">
        <w:t xml:space="preserve">étant diffèrent, il </w:t>
      </w:r>
      <w:proofErr w:type="gramStart"/>
      <w:r w:rsidR="009A4B61">
        <w:t xml:space="preserve">est  </w:t>
      </w:r>
      <w:r w:rsidRPr="00363364">
        <w:t>difficile</w:t>
      </w:r>
      <w:proofErr w:type="gramEnd"/>
      <w:r w:rsidRPr="00363364">
        <w:t xml:space="preserve"> d’avoir un moyen de croiser les listes des différents acteurs car il n’y a pas un moyen d’identification commun utilisé dans tout le pays (i.e. carte nationale, ID de UNHCR). </w:t>
      </w:r>
      <w:r w:rsidR="009A4B61">
        <w:t xml:space="preserve">La recommandation pour palier a ce défis est </w:t>
      </w:r>
      <w:proofErr w:type="gramStart"/>
      <w:r w:rsidR="009A4B61">
        <w:t xml:space="preserve">d’utiliser </w:t>
      </w:r>
      <w:r w:rsidRPr="00363364">
        <w:t xml:space="preserve"> </w:t>
      </w:r>
      <w:r w:rsidR="009A4B61">
        <w:t>la</w:t>
      </w:r>
      <w:proofErr w:type="gramEnd"/>
      <w:r w:rsidR="009A4B61">
        <w:t xml:space="preserve"> matrice 4W du TM </w:t>
      </w:r>
      <w:r w:rsidRPr="00363364">
        <w:t xml:space="preserve">pour identifier des localités ou plusieurs acteurs interviennent, et éventuellement prendre action pour croiser leurs listes ou en discuter avec les autorités locales. </w:t>
      </w:r>
      <w:r w:rsidR="009A4B61" w:rsidRPr="009A4B61">
        <w:rPr>
          <w:b/>
        </w:rPr>
        <w:t xml:space="preserve">Ainsi </w:t>
      </w:r>
      <w:r w:rsidRPr="00DA7156">
        <w:rPr>
          <w:b/>
        </w:rPr>
        <w:t xml:space="preserve">Il faut ajouter une colonne </w:t>
      </w:r>
      <w:r w:rsidR="00DA7156" w:rsidRPr="00DA7156">
        <w:rPr>
          <w:b/>
        </w:rPr>
        <w:t>« </w:t>
      </w:r>
      <w:r w:rsidRPr="00DA7156">
        <w:rPr>
          <w:b/>
        </w:rPr>
        <w:t>localités</w:t>
      </w:r>
      <w:r w:rsidR="00DA7156" w:rsidRPr="00DA7156">
        <w:rPr>
          <w:b/>
        </w:rPr>
        <w:t xml:space="preserve"> » en plus de Admin 3 que nous utilisons dans la </w:t>
      </w:r>
      <w:r w:rsidRPr="00DA7156">
        <w:rPr>
          <w:b/>
        </w:rPr>
        <w:t>matrice pour la prochaine mise à jour</w:t>
      </w:r>
      <w:r w:rsidR="00DA7156" w:rsidRPr="00DA7156">
        <w:rPr>
          <w:b/>
        </w:rPr>
        <w:t xml:space="preserve"> de la 4W</w:t>
      </w:r>
      <w:r>
        <w:t>.</w:t>
      </w:r>
    </w:p>
    <w:p w14:paraId="664CEAAF" w14:textId="20CF0009" w:rsidR="00527072" w:rsidRDefault="00527072" w:rsidP="0052749E">
      <w:pPr>
        <w:pStyle w:val="Paragraphedeliste"/>
        <w:numPr>
          <w:ilvl w:val="1"/>
          <w:numId w:val="1"/>
        </w:numPr>
        <w:jc w:val="both"/>
        <w:rPr>
          <w:b/>
        </w:rPr>
      </w:pPr>
      <w:r w:rsidRPr="00527072">
        <w:t xml:space="preserve">La version finale du rapport </w:t>
      </w:r>
      <w:r w:rsidR="00DA7156">
        <w:t xml:space="preserve">de l’étude TM </w:t>
      </w:r>
      <w:r w:rsidRPr="00527072">
        <w:t xml:space="preserve">sera </w:t>
      </w:r>
      <w:r w:rsidR="00DA7156">
        <w:t>partagé</w:t>
      </w:r>
      <w:r w:rsidRPr="00527072">
        <w:t xml:space="preserve"> en aout.</w:t>
      </w:r>
      <w:r>
        <w:t xml:space="preserve"> </w:t>
      </w:r>
      <w:r w:rsidR="00DA7156" w:rsidRPr="00DA7156">
        <w:rPr>
          <w:b/>
        </w:rPr>
        <w:t>Une présentation de l’étude sera faite à la prochaine réunion de ICC</w:t>
      </w:r>
      <w:r w:rsidRPr="00DA7156">
        <w:rPr>
          <w:b/>
        </w:rPr>
        <w:t>.</w:t>
      </w:r>
    </w:p>
    <w:p w14:paraId="404126D2" w14:textId="4F4CB97C" w:rsidR="009A4B61" w:rsidRDefault="009A4B61" w:rsidP="009A4B61">
      <w:pPr>
        <w:pStyle w:val="Paragraphedeliste"/>
        <w:ind w:left="1440"/>
        <w:jc w:val="both"/>
        <w:rPr>
          <w:b/>
        </w:rPr>
      </w:pPr>
    </w:p>
    <w:p w14:paraId="4D74AD7A" w14:textId="77777777" w:rsidR="009A4B61" w:rsidRPr="00DA7156" w:rsidRDefault="009A4B61" w:rsidP="009A4B61">
      <w:pPr>
        <w:pStyle w:val="Paragraphedeliste"/>
        <w:ind w:left="1440"/>
        <w:jc w:val="both"/>
        <w:rPr>
          <w:b/>
        </w:rPr>
      </w:pPr>
    </w:p>
    <w:p w14:paraId="22DD01E1" w14:textId="2FF20CB8" w:rsidR="004719D4" w:rsidRPr="004719D4" w:rsidRDefault="004719D4" w:rsidP="004719D4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4719D4">
        <w:rPr>
          <w:b/>
        </w:rPr>
        <w:lastRenderedPageBreak/>
        <w:t xml:space="preserve">Redynamisation du groupe de réflexion </w:t>
      </w:r>
      <w:r w:rsidR="009A4B61">
        <w:rPr>
          <w:b/>
        </w:rPr>
        <w:t xml:space="preserve">Etude de </w:t>
      </w:r>
      <w:r w:rsidRPr="004719D4">
        <w:rPr>
          <w:b/>
        </w:rPr>
        <w:t>faisabilité TM à Tillabéri (HCR/Tous)</w:t>
      </w:r>
    </w:p>
    <w:p w14:paraId="4111B820" w14:textId="0AC43E96" w:rsidR="004719D4" w:rsidRDefault="004719D4" w:rsidP="004719D4">
      <w:pPr>
        <w:pStyle w:val="Paragraphedeliste"/>
        <w:numPr>
          <w:ilvl w:val="1"/>
          <w:numId w:val="1"/>
        </w:numPr>
        <w:spacing w:after="0"/>
        <w:jc w:val="both"/>
      </w:pPr>
      <w:r>
        <w:t xml:space="preserve">OCHA a partagé les </w:t>
      </w:r>
      <w:proofErr w:type="spellStart"/>
      <w:r>
        <w:t>TdR</w:t>
      </w:r>
      <w:proofErr w:type="spellEnd"/>
      <w:r>
        <w:t xml:space="preserve"> </w:t>
      </w:r>
      <w:r w:rsidR="009A4B61">
        <w:t>de</w:t>
      </w:r>
      <w:r>
        <w:t xml:space="preserve"> l’étude de faisabilité TM à Tillabéri le 31 </w:t>
      </w:r>
      <w:r w:rsidR="009A4B61">
        <w:t xml:space="preserve">juillet. </w:t>
      </w:r>
    </w:p>
    <w:p w14:paraId="72AE1185" w14:textId="10EA83CB" w:rsidR="004719D4" w:rsidRDefault="00177376" w:rsidP="004719D4">
      <w:pPr>
        <w:pStyle w:val="Paragraphedeliste"/>
        <w:numPr>
          <w:ilvl w:val="1"/>
          <w:numId w:val="1"/>
        </w:numPr>
        <w:spacing w:after="0"/>
        <w:jc w:val="both"/>
      </w:pPr>
      <w:r>
        <w:t xml:space="preserve">Il a été demandé a IRC/HCR de Convoquer le plus rapidement (pendant la semaine du 5 aout) une réunion afin </w:t>
      </w:r>
      <w:proofErr w:type="gramStart"/>
      <w:r>
        <w:t>d’</w:t>
      </w:r>
      <w:r w:rsidR="004719D4">
        <w:t xml:space="preserve"> aller</w:t>
      </w:r>
      <w:proofErr w:type="gramEnd"/>
      <w:r w:rsidR="004719D4">
        <w:t xml:space="preserve"> de l’avant</w:t>
      </w:r>
      <w:r>
        <w:t xml:space="preserve"> avec les points suivants : - élaborer une feuille de route, - </w:t>
      </w:r>
      <w:r w:rsidR="004719D4">
        <w:t xml:space="preserve">partager les </w:t>
      </w:r>
      <w:proofErr w:type="spellStart"/>
      <w:r w:rsidR="004719D4">
        <w:t>TdR</w:t>
      </w:r>
      <w:proofErr w:type="spellEnd"/>
      <w:r w:rsidR="004719D4">
        <w:t xml:space="preserve"> </w:t>
      </w:r>
      <w:r>
        <w:t xml:space="preserve">avec </w:t>
      </w:r>
      <w:r w:rsidR="004719D4">
        <w:t xml:space="preserve">tous les membres du MSCWG, </w:t>
      </w:r>
      <w:r>
        <w:t>- déterminer les zones, - proposition de</w:t>
      </w:r>
      <w:r w:rsidR="004719D4">
        <w:t xml:space="preserve"> budget requis ; et </w:t>
      </w:r>
      <w:r>
        <w:t xml:space="preserve">- </w:t>
      </w:r>
      <w:r w:rsidR="004719D4">
        <w:t>le chronogramme.</w:t>
      </w:r>
      <w:r w:rsidR="00DA763F">
        <w:t xml:space="preserve"> </w:t>
      </w:r>
      <w:r w:rsidR="00DA763F" w:rsidRPr="00DA763F">
        <w:rPr>
          <w:b/>
        </w:rPr>
        <w:t>A partager avec le MSCWG avant la prochaine réunion</w:t>
      </w:r>
      <w:r w:rsidR="00DA763F">
        <w:t xml:space="preserve">. </w:t>
      </w:r>
    </w:p>
    <w:p w14:paraId="0D1165E8" w14:textId="77777777" w:rsidR="004719D4" w:rsidRPr="002A22EB" w:rsidRDefault="004719D4" w:rsidP="004719D4">
      <w:pPr>
        <w:pStyle w:val="Paragraphedeliste"/>
        <w:spacing w:after="0"/>
        <w:ind w:left="1440"/>
        <w:jc w:val="both"/>
      </w:pPr>
    </w:p>
    <w:p w14:paraId="1097FEBF" w14:textId="61CC4910" w:rsidR="001505C9" w:rsidRPr="004719D4" w:rsidRDefault="004719D4" w:rsidP="004719D4">
      <w:pPr>
        <w:jc w:val="both"/>
        <w:rPr>
          <w:b/>
        </w:rPr>
      </w:pPr>
      <w:r>
        <w:rPr>
          <w:b/>
        </w:rPr>
        <w:t>La prochaine réunion est prévue pour le 28 aout.</w:t>
      </w:r>
    </w:p>
    <w:sectPr w:rsidR="001505C9" w:rsidRPr="004719D4" w:rsidSect="000D2652">
      <w:footerReference w:type="default" r:id="rId8"/>
      <w:pgSz w:w="11906" w:h="16838"/>
      <w:pgMar w:top="1134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26991" w14:textId="77777777" w:rsidR="00C73524" w:rsidRDefault="00C73524" w:rsidP="007A77F5">
      <w:pPr>
        <w:spacing w:after="0" w:line="240" w:lineRule="auto"/>
      </w:pPr>
      <w:r>
        <w:separator/>
      </w:r>
    </w:p>
  </w:endnote>
  <w:endnote w:type="continuationSeparator" w:id="0">
    <w:p w14:paraId="480FF811" w14:textId="77777777" w:rsidR="00C73524" w:rsidRDefault="00C73524" w:rsidP="007A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0115585"/>
      <w:docPartObj>
        <w:docPartGallery w:val="Page Numbers (Bottom of Page)"/>
        <w:docPartUnique/>
      </w:docPartObj>
    </w:sdtPr>
    <w:sdtEndPr/>
    <w:sdtContent>
      <w:p w14:paraId="33572587" w14:textId="75C7C3C5" w:rsidR="007A77F5" w:rsidRDefault="007A77F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63F">
          <w:rPr>
            <w:noProof/>
          </w:rPr>
          <w:t>3</w:t>
        </w:r>
        <w:r>
          <w:fldChar w:fldCharType="end"/>
        </w:r>
      </w:p>
    </w:sdtContent>
  </w:sdt>
  <w:p w14:paraId="314773AD" w14:textId="77777777" w:rsidR="007A77F5" w:rsidRDefault="007A77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61C40" w14:textId="77777777" w:rsidR="00C73524" w:rsidRDefault="00C73524" w:rsidP="007A77F5">
      <w:pPr>
        <w:spacing w:after="0" w:line="240" w:lineRule="auto"/>
      </w:pPr>
      <w:r>
        <w:separator/>
      </w:r>
    </w:p>
  </w:footnote>
  <w:footnote w:type="continuationSeparator" w:id="0">
    <w:p w14:paraId="5ECDCB88" w14:textId="77777777" w:rsidR="00C73524" w:rsidRDefault="00C73524" w:rsidP="007A77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689"/>
    <w:multiLevelType w:val="hybridMultilevel"/>
    <w:tmpl w:val="50A67DE2"/>
    <w:lvl w:ilvl="0" w:tplc="F5F2C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030A"/>
    <w:multiLevelType w:val="hybridMultilevel"/>
    <w:tmpl w:val="ED381DC6"/>
    <w:lvl w:ilvl="0" w:tplc="257C7F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22754"/>
    <w:multiLevelType w:val="hybridMultilevel"/>
    <w:tmpl w:val="84541F5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75996"/>
    <w:multiLevelType w:val="hybridMultilevel"/>
    <w:tmpl w:val="66A2C466"/>
    <w:lvl w:ilvl="0" w:tplc="D368C9B2">
      <w:start w:val="1"/>
      <w:numFmt w:val="lowerRoman"/>
      <w:lvlText w:val="%1-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9F430C"/>
    <w:multiLevelType w:val="hybridMultilevel"/>
    <w:tmpl w:val="41B04A28"/>
    <w:lvl w:ilvl="0" w:tplc="0BA883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A3227"/>
    <w:multiLevelType w:val="hybridMultilevel"/>
    <w:tmpl w:val="5E266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C5640"/>
    <w:multiLevelType w:val="hybridMultilevel"/>
    <w:tmpl w:val="177AEB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B024CEE4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15C55"/>
    <w:multiLevelType w:val="hybridMultilevel"/>
    <w:tmpl w:val="033A1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53F25"/>
    <w:multiLevelType w:val="hybridMultilevel"/>
    <w:tmpl w:val="5B54F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974"/>
    <w:rsid w:val="00030D11"/>
    <w:rsid w:val="000379FD"/>
    <w:rsid w:val="000922E6"/>
    <w:rsid w:val="000A277D"/>
    <w:rsid w:val="000D2652"/>
    <w:rsid w:val="000D4593"/>
    <w:rsid w:val="000E0806"/>
    <w:rsid w:val="00107F67"/>
    <w:rsid w:val="001162FD"/>
    <w:rsid w:val="001237A5"/>
    <w:rsid w:val="0012550A"/>
    <w:rsid w:val="0013276A"/>
    <w:rsid w:val="001505C9"/>
    <w:rsid w:val="00155549"/>
    <w:rsid w:val="00156974"/>
    <w:rsid w:val="00161FE6"/>
    <w:rsid w:val="00165CF6"/>
    <w:rsid w:val="00177376"/>
    <w:rsid w:val="001963EF"/>
    <w:rsid w:val="001A62C9"/>
    <w:rsid w:val="001D07DF"/>
    <w:rsid w:val="001E6D4D"/>
    <w:rsid w:val="001F4A91"/>
    <w:rsid w:val="002110FC"/>
    <w:rsid w:val="0022314C"/>
    <w:rsid w:val="00245848"/>
    <w:rsid w:val="00297863"/>
    <w:rsid w:val="002A22EB"/>
    <w:rsid w:val="002A5991"/>
    <w:rsid w:val="002C58B3"/>
    <w:rsid w:val="002F1E00"/>
    <w:rsid w:val="00303867"/>
    <w:rsid w:val="00323D44"/>
    <w:rsid w:val="00363364"/>
    <w:rsid w:val="00373515"/>
    <w:rsid w:val="003A4BC7"/>
    <w:rsid w:val="003B4734"/>
    <w:rsid w:val="003C6C80"/>
    <w:rsid w:val="003C7646"/>
    <w:rsid w:val="003F0E59"/>
    <w:rsid w:val="003F6782"/>
    <w:rsid w:val="003F7A69"/>
    <w:rsid w:val="00405DC3"/>
    <w:rsid w:val="00412BD7"/>
    <w:rsid w:val="0046518C"/>
    <w:rsid w:val="004719D4"/>
    <w:rsid w:val="00527072"/>
    <w:rsid w:val="0052749E"/>
    <w:rsid w:val="0054698C"/>
    <w:rsid w:val="00561957"/>
    <w:rsid w:val="00593AAF"/>
    <w:rsid w:val="005F593E"/>
    <w:rsid w:val="006965F3"/>
    <w:rsid w:val="006D7B6A"/>
    <w:rsid w:val="006F5B52"/>
    <w:rsid w:val="00722214"/>
    <w:rsid w:val="00773879"/>
    <w:rsid w:val="007947B3"/>
    <w:rsid w:val="007A6E9C"/>
    <w:rsid w:val="007A77F5"/>
    <w:rsid w:val="007B20CF"/>
    <w:rsid w:val="007C562A"/>
    <w:rsid w:val="008235E0"/>
    <w:rsid w:val="008272C5"/>
    <w:rsid w:val="0089299B"/>
    <w:rsid w:val="008969EB"/>
    <w:rsid w:val="00897AFD"/>
    <w:rsid w:val="008C1662"/>
    <w:rsid w:val="008D4162"/>
    <w:rsid w:val="0090784E"/>
    <w:rsid w:val="009262CB"/>
    <w:rsid w:val="0095602C"/>
    <w:rsid w:val="009A4B61"/>
    <w:rsid w:val="009D583A"/>
    <w:rsid w:val="00A54C6F"/>
    <w:rsid w:val="00A63648"/>
    <w:rsid w:val="00AB1450"/>
    <w:rsid w:val="00AB4197"/>
    <w:rsid w:val="00B008BC"/>
    <w:rsid w:val="00B142C5"/>
    <w:rsid w:val="00B46B26"/>
    <w:rsid w:val="00B508EB"/>
    <w:rsid w:val="00B526EA"/>
    <w:rsid w:val="00B8637D"/>
    <w:rsid w:val="00BB164B"/>
    <w:rsid w:val="00BC7D92"/>
    <w:rsid w:val="00BD466E"/>
    <w:rsid w:val="00BD631B"/>
    <w:rsid w:val="00BF75EC"/>
    <w:rsid w:val="00C24BBF"/>
    <w:rsid w:val="00C34F70"/>
    <w:rsid w:val="00C451C4"/>
    <w:rsid w:val="00C51F36"/>
    <w:rsid w:val="00C73524"/>
    <w:rsid w:val="00CA4567"/>
    <w:rsid w:val="00CE7CD6"/>
    <w:rsid w:val="00D00BF5"/>
    <w:rsid w:val="00D017C0"/>
    <w:rsid w:val="00D41E66"/>
    <w:rsid w:val="00D53F4B"/>
    <w:rsid w:val="00D569EA"/>
    <w:rsid w:val="00D718E3"/>
    <w:rsid w:val="00D77EEF"/>
    <w:rsid w:val="00D94786"/>
    <w:rsid w:val="00DA7156"/>
    <w:rsid w:val="00DA763F"/>
    <w:rsid w:val="00E52F76"/>
    <w:rsid w:val="00E74C3A"/>
    <w:rsid w:val="00EB6047"/>
    <w:rsid w:val="00EE3B91"/>
    <w:rsid w:val="00F23ED0"/>
    <w:rsid w:val="00F4786F"/>
    <w:rsid w:val="00F604DE"/>
    <w:rsid w:val="00F62BC1"/>
    <w:rsid w:val="00F7221E"/>
    <w:rsid w:val="00F74AE9"/>
    <w:rsid w:val="00FE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1B9E"/>
  <w15:docId w15:val="{C2A1EC02-A5FC-4A3C-A407-1BBA18FF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normal"/>
    <w:basedOn w:val="Normal"/>
    <w:link w:val="ParagraphedelisteCar"/>
    <w:uiPriority w:val="34"/>
    <w:qFormat/>
    <w:rsid w:val="001569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A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7F5"/>
  </w:style>
  <w:style w:type="paragraph" w:styleId="Pieddepage">
    <w:name w:val="footer"/>
    <w:basedOn w:val="Normal"/>
    <w:link w:val="PieddepageCar"/>
    <w:uiPriority w:val="99"/>
    <w:unhideWhenUsed/>
    <w:rsid w:val="007A7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7F5"/>
  </w:style>
  <w:style w:type="character" w:styleId="Lienhypertexte">
    <w:name w:val="Hyperlink"/>
    <w:basedOn w:val="Policepardfaut"/>
    <w:uiPriority w:val="99"/>
    <w:semiHidden/>
    <w:unhideWhenUsed/>
    <w:rsid w:val="00BF75EC"/>
    <w:rPr>
      <w:color w:val="0563C1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A59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599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599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599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599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991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aliases w:val="normal Car"/>
    <w:link w:val="Paragraphedeliste"/>
    <w:uiPriority w:val="34"/>
    <w:locked/>
    <w:rsid w:val="000D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1645-3B67-4800-8C1F-B76B7F86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5492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Fadima Soumana</dc:creator>
  <cp:lastModifiedBy>Therese Faye</cp:lastModifiedBy>
  <cp:revision>7</cp:revision>
  <dcterms:created xsi:type="dcterms:W3CDTF">2019-08-01T15:04:00Z</dcterms:created>
  <dcterms:modified xsi:type="dcterms:W3CDTF">2020-03-12T14:51:00Z</dcterms:modified>
</cp:coreProperties>
</file>