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F3734" w14:textId="77777777" w:rsidR="005918DC" w:rsidRPr="00D94786" w:rsidRDefault="000922E6" w:rsidP="00156974">
      <w:pPr>
        <w:jc w:val="center"/>
        <w:rPr>
          <w:b/>
          <w:sz w:val="32"/>
        </w:rPr>
      </w:pPr>
      <w:r>
        <w:rPr>
          <w:b/>
          <w:sz w:val="32"/>
        </w:rPr>
        <w:t>Draft de CR MSC</w:t>
      </w:r>
      <w:r w:rsidR="00156974" w:rsidRPr="00D94786">
        <w:rPr>
          <w:b/>
          <w:sz w:val="32"/>
        </w:rPr>
        <w:t xml:space="preserve">WG – Réunion du </w:t>
      </w:r>
      <w:r w:rsidR="007C562A">
        <w:rPr>
          <w:b/>
          <w:sz w:val="32"/>
        </w:rPr>
        <w:t>26</w:t>
      </w:r>
      <w:r w:rsidR="00156974" w:rsidRPr="00D94786">
        <w:rPr>
          <w:b/>
          <w:sz w:val="32"/>
        </w:rPr>
        <w:t>/0</w:t>
      </w:r>
      <w:r w:rsidR="007C562A">
        <w:rPr>
          <w:b/>
          <w:sz w:val="32"/>
        </w:rPr>
        <w:t>6</w:t>
      </w:r>
      <w:r w:rsidR="00156974" w:rsidRPr="00D94786">
        <w:rPr>
          <w:b/>
          <w:sz w:val="32"/>
        </w:rPr>
        <w:t xml:space="preserve">/2019 </w:t>
      </w:r>
    </w:p>
    <w:p w14:paraId="14E597B7" w14:textId="77777777" w:rsidR="00156974" w:rsidRDefault="00156974">
      <w:pPr>
        <w:rPr>
          <w:i/>
        </w:rPr>
      </w:pPr>
    </w:p>
    <w:p w14:paraId="46FA0871" w14:textId="77777777" w:rsidR="007C562A" w:rsidRDefault="007C562A">
      <w:pPr>
        <w:rPr>
          <w:i/>
        </w:rPr>
      </w:pPr>
      <w:r w:rsidRPr="007C562A">
        <w:rPr>
          <w:b/>
          <w:i/>
        </w:rPr>
        <w:t>Lieu :</w:t>
      </w:r>
      <w:r>
        <w:rPr>
          <w:i/>
        </w:rPr>
        <w:t xml:space="preserve"> Salle de réunion OCHA</w:t>
      </w:r>
    </w:p>
    <w:p w14:paraId="0122C367" w14:textId="77777777" w:rsidR="007C562A" w:rsidRPr="007C562A" w:rsidRDefault="00156974" w:rsidP="00156974">
      <w:pPr>
        <w:spacing w:after="0"/>
        <w:jc w:val="both"/>
        <w:rPr>
          <w:b/>
          <w:i/>
        </w:rPr>
      </w:pPr>
      <w:r w:rsidRPr="007C562A">
        <w:rPr>
          <w:b/>
          <w:i/>
        </w:rPr>
        <w:t xml:space="preserve">Participants : </w:t>
      </w:r>
    </w:p>
    <w:p w14:paraId="2DAEEC8F" w14:textId="77777777" w:rsidR="007C562A" w:rsidRDefault="007C562A" w:rsidP="007C562A">
      <w:pPr>
        <w:pStyle w:val="ListParagraph"/>
        <w:numPr>
          <w:ilvl w:val="0"/>
          <w:numId w:val="4"/>
        </w:numPr>
        <w:spacing w:after="0"/>
        <w:jc w:val="both"/>
        <w:rPr>
          <w:i/>
        </w:rPr>
      </w:pPr>
      <w:r w:rsidRPr="007C562A">
        <w:rPr>
          <w:i/>
        </w:rPr>
        <w:t>Mercy Corp</w:t>
      </w:r>
      <w:r>
        <w:rPr>
          <w:i/>
        </w:rPr>
        <w:t>s</w:t>
      </w:r>
      <w:r w:rsidRPr="007C562A">
        <w:rPr>
          <w:i/>
        </w:rPr>
        <w:t xml:space="preserve">  </w:t>
      </w:r>
    </w:p>
    <w:p w14:paraId="2AB5EEE3" w14:textId="77777777" w:rsidR="007C562A" w:rsidRDefault="00156974" w:rsidP="007C562A">
      <w:pPr>
        <w:pStyle w:val="ListParagraph"/>
        <w:numPr>
          <w:ilvl w:val="0"/>
          <w:numId w:val="4"/>
        </w:numPr>
        <w:spacing w:after="0"/>
        <w:jc w:val="both"/>
        <w:rPr>
          <w:i/>
        </w:rPr>
      </w:pPr>
      <w:r w:rsidRPr="007C562A">
        <w:rPr>
          <w:i/>
        </w:rPr>
        <w:t xml:space="preserve">REACH </w:t>
      </w:r>
    </w:p>
    <w:p w14:paraId="209A3DA4" w14:textId="77777777" w:rsidR="007C562A" w:rsidRDefault="00156974" w:rsidP="007C562A">
      <w:pPr>
        <w:pStyle w:val="ListParagraph"/>
        <w:numPr>
          <w:ilvl w:val="0"/>
          <w:numId w:val="4"/>
        </w:numPr>
        <w:spacing w:after="0"/>
        <w:jc w:val="both"/>
        <w:rPr>
          <w:i/>
        </w:rPr>
      </w:pPr>
      <w:r w:rsidRPr="007C562A">
        <w:rPr>
          <w:i/>
        </w:rPr>
        <w:t>OCHA</w:t>
      </w:r>
      <w:r w:rsidR="007C562A">
        <w:rPr>
          <w:i/>
        </w:rPr>
        <w:t xml:space="preserve"> </w:t>
      </w:r>
    </w:p>
    <w:p w14:paraId="583B7D21" w14:textId="77777777" w:rsidR="007C562A" w:rsidRDefault="00156974" w:rsidP="007C562A">
      <w:pPr>
        <w:pStyle w:val="ListParagraph"/>
        <w:numPr>
          <w:ilvl w:val="0"/>
          <w:numId w:val="4"/>
        </w:numPr>
        <w:spacing w:after="0"/>
        <w:jc w:val="both"/>
        <w:rPr>
          <w:i/>
        </w:rPr>
      </w:pPr>
      <w:r w:rsidRPr="007C562A">
        <w:rPr>
          <w:i/>
        </w:rPr>
        <w:t xml:space="preserve">UNICEF </w:t>
      </w:r>
    </w:p>
    <w:p w14:paraId="7D3C3430" w14:textId="77777777" w:rsidR="007C562A" w:rsidRDefault="00156974" w:rsidP="007C562A">
      <w:pPr>
        <w:pStyle w:val="ListParagraph"/>
        <w:numPr>
          <w:ilvl w:val="0"/>
          <w:numId w:val="4"/>
        </w:numPr>
        <w:spacing w:after="0"/>
        <w:jc w:val="both"/>
        <w:rPr>
          <w:i/>
        </w:rPr>
      </w:pPr>
      <w:r w:rsidRPr="007C562A">
        <w:rPr>
          <w:i/>
        </w:rPr>
        <w:t xml:space="preserve">PAM </w:t>
      </w:r>
    </w:p>
    <w:p w14:paraId="09AB0BD4" w14:textId="77777777" w:rsidR="007C562A" w:rsidRDefault="007C562A" w:rsidP="007C562A">
      <w:pPr>
        <w:pStyle w:val="ListParagraph"/>
        <w:numPr>
          <w:ilvl w:val="0"/>
          <w:numId w:val="4"/>
        </w:numPr>
        <w:spacing w:after="0"/>
        <w:jc w:val="both"/>
        <w:rPr>
          <w:i/>
        </w:rPr>
      </w:pPr>
      <w:r>
        <w:rPr>
          <w:i/>
        </w:rPr>
        <w:t xml:space="preserve">CARE </w:t>
      </w:r>
    </w:p>
    <w:p w14:paraId="01F17732" w14:textId="77777777" w:rsidR="007C562A" w:rsidRDefault="007C562A" w:rsidP="007C562A">
      <w:pPr>
        <w:pStyle w:val="ListParagraph"/>
        <w:numPr>
          <w:ilvl w:val="0"/>
          <w:numId w:val="4"/>
        </w:numPr>
        <w:spacing w:after="0"/>
        <w:jc w:val="both"/>
        <w:rPr>
          <w:i/>
        </w:rPr>
      </w:pPr>
      <w:r>
        <w:rPr>
          <w:i/>
        </w:rPr>
        <w:t xml:space="preserve">ACTED </w:t>
      </w:r>
    </w:p>
    <w:p w14:paraId="27766EF7" w14:textId="77777777" w:rsidR="000922E6" w:rsidRPr="000922E6" w:rsidRDefault="000922E6" w:rsidP="007C562A">
      <w:pPr>
        <w:pStyle w:val="ListParagraph"/>
        <w:numPr>
          <w:ilvl w:val="0"/>
          <w:numId w:val="4"/>
        </w:numPr>
        <w:spacing w:after="0"/>
        <w:jc w:val="both"/>
        <w:rPr>
          <w:i/>
          <w:color w:val="0070C0"/>
        </w:rPr>
      </w:pPr>
      <w:r w:rsidRPr="000922E6">
        <w:rPr>
          <w:i/>
          <w:color w:val="0070C0"/>
        </w:rPr>
        <w:t>MDC/AT</w:t>
      </w:r>
    </w:p>
    <w:p w14:paraId="058BBD3F" w14:textId="77777777" w:rsidR="007C562A" w:rsidRPr="000922E6" w:rsidRDefault="000922E6" w:rsidP="007C562A">
      <w:pPr>
        <w:pStyle w:val="ListParagraph"/>
        <w:numPr>
          <w:ilvl w:val="0"/>
          <w:numId w:val="4"/>
        </w:numPr>
        <w:spacing w:after="0"/>
        <w:jc w:val="both"/>
        <w:rPr>
          <w:i/>
          <w:color w:val="0070C0"/>
        </w:rPr>
      </w:pPr>
      <w:r w:rsidRPr="000922E6">
        <w:rPr>
          <w:i/>
          <w:color w:val="0070C0"/>
        </w:rPr>
        <w:t>COOPI</w:t>
      </w:r>
      <w:r w:rsidR="007C562A" w:rsidRPr="000922E6">
        <w:rPr>
          <w:i/>
          <w:color w:val="0070C0"/>
        </w:rPr>
        <w:t>.</w:t>
      </w:r>
    </w:p>
    <w:p w14:paraId="5CE7D740" w14:textId="77777777" w:rsidR="00156974" w:rsidRDefault="000922E6" w:rsidP="00156974">
      <w:pPr>
        <w:pStyle w:val="ListParagraph"/>
        <w:numPr>
          <w:ilvl w:val="0"/>
          <w:numId w:val="4"/>
        </w:numPr>
        <w:spacing w:after="0"/>
        <w:jc w:val="both"/>
        <w:rPr>
          <w:i/>
          <w:color w:val="0070C0"/>
        </w:rPr>
      </w:pPr>
      <w:r w:rsidRPr="000922E6">
        <w:rPr>
          <w:i/>
          <w:color w:val="0070C0"/>
        </w:rPr>
        <w:t>IRC</w:t>
      </w:r>
    </w:p>
    <w:p w14:paraId="4539A963" w14:textId="77777777" w:rsidR="000922E6" w:rsidRPr="000922E6" w:rsidRDefault="000922E6" w:rsidP="00156974">
      <w:pPr>
        <w:pStyle w:val="ListParagraph"/>
        <w:numPr>
          <w:ilvl w:val="0"/>
          <w:numId w:val="4"/>
        </w:numPr>
        <w:spacing w:after="0"/>
        <w:jc w:val="both"/>
        <w:rPr>
          <w:i/>
          <w:color w:val="0070C0"/>
        </w:rPr>
      </w:pPr>
      <w:r>
        <w:rPr>
          <w:i/>
          <w:color w:val="0070C0"/>
        </w:rPr>
        <w:t>SCI</w:t>
      </w:r>
    </w:p>
    <w:p w14:paraId="50240D76" w14:textId="77777777" w:rsidR="007C562A" w:rsidRPr="00297863" w:rsidRDefault="007C562A" w:rsidP="007C562A">
      <w:pPr>
        <w:spacing w:after="0"/>
        <w:jc w:val="both"/>
        <w:rPr>
          <w:b/>
          <w:i/>
        </w:rPr>
      </w:pPr>
      <w:r w:rsidRPr="00297863">
        <w:rPr>
          <w:b/>
          <w:i/>
        </w:rPr>
        <w:t xml:space="preserve">Ordre du jour : </w:t>
      </w:r>
    </w:p>
    <w:p w14:paraId="1225412F" w14:textId="77777777" w:rsidR="007C562A" w:rsidRPr="007C562A" w:rsidRDefault="00297863" w:rsidP="007C562A">
      <w:pPr>
        <w:pStyle w:val="ListParagraph"/>
        <w:numPr>
          <w:ilvl w:val="0"/>
          <w:numId w:val="4"/>
        </w:numPr>
        <w:spacing w:after="0"/>
        <w:jc w:val="both"/>
        <w:rPr>
          <w:i/>
        </w:rPr>
      </w:pPr>
      <w:r w:rsidRPr="001505C9">
        <w:rPr>
          <w:b/>
          <w:i/>
        </w:rPr>
        <w:t>(1)</w:t>
      </w:r>
      <w:r>
        <w:rPr>
          <w:i/>
        </w:rPr>
        <w:t xml:space="preserve"> </w:t>
      </w:r>
      <w:r w:rsidR="007C562A" w:rsidRPr="007C562A">
        <w:rPr>
          <w:i/>
        </w:rPr>
        <w:t xml:space="preserve">Validation du Dashboard du 1er trimestre 2019 pour publication </w:t>
      </w:r>
    </w:p>
    <w:p w14:paraId="3A426F55" w14:textId="77777777" w:rsidR="007C562A" w:rsidRPr="007C562A" w:rsidRDefault="00297863" w:rsidP="007C562A">
      <w:pPr>
        <w:pStyle w:val="ListParagraph"/>
        <w:numPr>
          <w:ilvl w:val="0"/>
          <w:numId w:val="4"/>
        </w:numPr>
        <w:spacing w:after="0"/>
        <w:jc w:val="both"/>
        <w:rPr>
          <w:i/>
        </w:rPr>
      </w:pPr>
      <w:r w:rsidRPr="001505C9">
        <w:rPr>
          <w:b/>
          <w:i/>
        </w:rPr>
        <w:t>(2)</w:t>
      </w:r>
      <w:r>
        <w:rPr>
          <w:i/>
        </w:rPr>
        <w:t xml:space="preserve"> </w:t>
      </w:r>
      <w:r w:rsidR="007C562A" w:rsidRPr="007C562A">
        <w:rPr>
          <w:i/>
        </w:rPr>
        <w:t xml:space="preserve">Revue et finalisation des TdR 2019 du MSCWG </w:t>
      </w:r>
    </w:p>
    <w:p w14:paraId="21B5DFC1" w14:textId="77777777" w:rsidR="007C562A" w:rsidRPr="007C562A" w:rsidRDefault="00297863" w:rsidP="007C562A">
      <w:pPr>
        <w:pStyle w:val="ListParagraph"/>
        <w:numPr>
          <w:ilvl w:val="0"/>
          <w:numId w:val="4"/>
        </w:numPr>
        <w:spacing w:after="0"/>
        <w:jc w:val="both"/>
        <w:rPr>
          <w:i/>
        </w:rPr>
      </w:pPr>
      <w:r w:rsidRPr="001505C9">
        <w:rPr>
          <w:b/>
          <w:i/>
        </w:rPr>
        <w:t>(3)</w:t>
      </w:r>
      <w:r>
        <w:rPr>
          <w:i/>
        </w:rPr>
        <w:t xml:space="preserve"> </w:t>
      </w:r>
      <w:r w:rsidR="007C562A" w:rsidRPr="007C562A">
        <w:rPr>
          <w:i/>
        </w:rPr>
        <w:t xml:space="preserve">Présentation des résultats de l’étude de faisabilité TM effectuée à Diffa et discussion </w:t>
      </w:r>
    </w:p>
    <w:p w14:paraId="5955BAB7" w14:textId="77777777" w:rsidR="007C562A" w:rsidRPr="007C562A" w:rsidRDefault="00297863" w:rsidP="007C562A">
      <w:pPr>
        <w:pStyle w:val="ListParagraph"/>
        <w:numPr>
          <w:ilvl w:val="0"/>
          <w:numId w:val="4"/>
        </w:numPr>
        <w:spacing w:after="0"/>
        <w:jc w:val="both"/>
        <w:rPr>
          <w:i/>
        </w:rPr>
      </w:pPr>
      <w:r w:rsidRPr="001505C9">
        <w:rPr>
          <w:b/>
          <w:i/>
        </w:rPr>
        <w:t>(4)</w:t>
      </w:r>
      <w:r>
        <w:rPr>
          <w:i/>
        </w:rPr>
        <w:t xml:space="preserve"> </w:t>
      </w:r>
      <w:r w:rsidR="007C562A" w:rsidRPr="007C562A">
        <w:rPr>
          <w:i/>
        </w:rPr>
        <w:t>Divers</w:t>
      </w:r>
      <w:r>
        <w:rPr>
          <w:i/>
        </w:rPr>
        <w:t xml:space="preserve"> : i- </w:t>
      </w:r>
      <w:r w:rsidR="00CA4567">
        <w:rPr>
          <w:i/>
        </w:rPr>
        <w:t xml:space="preserve">Les </w:t>
      </w:r>
      <w:r>
        <w:rPr>
          <w:i/>
        </w:rPr>
        <w:t>Prochaines formations CaLP et ii- Point sur l’état d’avancement du MEB</w:t>
      </w:r>
    </w:p>
    <w:p w14:paraId="48E8E2E2" w14:textId="77777777" w:rsidR="007C562A" w:rsidRPr="007C562A" w:rsidRDefault="007C562A" w:rsidP="007C562A">
      <w:pPr>
        <w:spacing w:after="0"/>
        <w:jc w:val="both"/>
        <w:rPr>
          <w:i/>
        </w:rPr>
      </w:pPr>
    </w:p>
    <w:p w14:paraId="2954E13A" w14:textId="77777777" w:rsidR="00156974" w:rsidRPr="00156974" w:rsidRDefault="001505C9" w:rsidP="00156974">
      <w:pPr>
        <w:pStyle w:val="ListParagraph"/>
        <w:numPr>
          <w:ilvl w:val="0"/>
          <w:numId w:val="1"/>
        </w:numPr>
        <w:jc w:val="both"/>
        <w:rPr>
          <w:b/>
        </w:rPr>
      </w:pPr>
      <w:r>
        <w:rPr>
          <w:b/>
        </w:rPr>
        <w:t>Validation du Dashboard du 1</w:t>
      </w:r>
      <w:r w:rsidRPr="001505C9">
        <w:rPr>
          <w:b/>
          <w:vertAlign w:val="superscript"/>
        </w:rPr>
        <w:t>er</w:t>
      </w:r>
      <w:r>
        <w:rPr>
          <w:b/>
        </w:rPr>
        <w:t xml:space="preserve"> trimestre 2019</w:t>
      </w:r>
    </w:p>
    <w:p w14:paraId="385141D7" w14:textId="77777777" w:rsidR="00303867" w:rsidRDefault="00B142C5" w:rsidP="00303867">
      <w:pPr>
        <w:jc w:val="both"/>
      </w:pPr>
      <w:r>
        <w:t>Elaboré sur la base de la dernière mise à jour de la matrice 4W, le Dashboard du 1</w:t>
      </w:r>
      <w:r w:rsidRPr="00B142C5">
        <w:rPr>
          <w:vertAlign w:val="superscript"/>
        </w:rPr>
        <w:t>er</w:t>
      </w:r>
      <w:r>
        <w:t xml:space="preserve"> trimestre 2019 présenté par OCHA </w:t>
      </w:r>
      <w:r w:rsidR="00CA4567">
        <w:t xml:space="preserve">lors de la réunion </w:t>
      </w:r>
      <w:r>
        <w:t>a suscité beaucoup de discussions/remarques et amendements</w:t>
      </w:r>
      <w:r w:rsidR="002F1E00">
        <w:t xml:space="preserve"> </w:t>
      </w:r>
      <w:r>
        <w:t xml:space="preserve">de la part des acteurs participants. </w:t>
      </w:r>
      <w:r w:rsidR="002F1E00">
        <w:t xml:space="preserve">Les points ci-après résument les principales remarques et </w:t>
      </w:r>
      <w:r w:rsidR="00303867">
        <w:t>contributions retenues par la réunion :</w:t>
      </w:r>
    </w:p>
    <w:p w14:paraId="2057B1CB" w14:textId="77777777" w:rsidR="002C58B3" w:rsidRDefault="00303867" w:rsidP="00303867">
      <w:pPr>
        <w:pStyle w:val="ListParagraph"/>
        <w:numPr>
          <w:ilvl w:val="0"/>
          <w:numId w:val="4"/>
        </w:numPr>
        <w:jc w:val="both"/>
      </w:pPr>
      <w:r>
        <w:t>Certains</w:t>
      </w:r>
      <w:r w:rsidR="002C58B3">
        <w:t xml:space="preserve"> chiffres de planifications semblent </w:t>
      </w:r>
      <w:r>
        <w:t xml:space="preserve">être </w:t>
      </w:r>
      <w:r w:rsidR="002C58B3">
        <w:t>aberrants pour certain</w:t>
      </w:r>
      <w:r>
        <w:t>es structures/zones/périodes</w:t>
      </w:r>
      <w:r w:rsidR="002C58B3">
        <w:t xml:space="preserve"> (A corriger) ;</w:t>
      </w:r>
    </w:p>
    <w:p w14:paraId="5F4C86AC" w14:textId="77777777" w:rsidR="002C58B3" w:rsidRDefault="002C58B3" w:rsidP="000E0806">
      <w:pPr>
        <w:pStyle w:val="ListParagraph"/>
        <w:numPr>
          <w:ilvl w:val="0"/>
          <w:numId w:val="4"/>
        </w:numPr>
        <w:jc w:val="both"/>
      </w:pPr>
      <w:r>
        <w:t>Harmonisation de la monnaie de remplissage de la matrice vs Dashboard</w:t>
      </w:r>
      <w:r w:rsidR="009262CB">
        <w:t xml:space="preserve"> (USD)</w:t>
      </w:r>
      <w:r>
        <w:t> ;</w:t>
      </w:r>
    </w:p>
    <w:p w14:paraId="15D74ABB" w14:textId="77777777" w:rsidR="002C58B3" w:rsidRDefault="002C58B3" w:rsidP="000E0806">
      <w:pPr>
        <w:pStyle w:val="ListParagraph"/>
        <w:numPr>
          <w:ilvl w:val="0"/>
          <w:numId w:val="4"/>
        </w:numPr>
        <w:jc w:val="both"/>
      </w:pPr>
      <w:r>
        <w:t xml:space="preserve"> Harmonisation de la périodicité du rapportage (au trimestre et non au cumul) ;</w:t>
      </w:r>
    </w:p>
    <w:p w14:paraId="7F5A9E07" w14:textId="77777777" w:rsidR="002C58B3" w:rsidRDefault="002C58B3" w:rsidP="000E0806">
      <w:pPr>
        <w:pStyle w:val="ListParagraph"/>
        <w:numPr>
          <w:ilvl w:val="0"/>
          <w:numId w:val="4"/>
        </w:numPr>
        <w:jc w:val="both"/>
      </w:pPr>
      <w:r>
        <w:t xml:space="preserve">Ajout </w:t>
      </w:r>
      <w:r w:rsidR="009262CB">
        <w:t>une</w:t>
      </w:r>
      <w:r>
        <w:t xml:space="preserve"> colonne « Distribuer à Date ». </w:t>
      </w:r>
    </w:p>
    <w:p w14:paraId="24AAA06B" w14:textId="77777777" w:rsidR="00AB1450" w:rsidRDefault="002C58B3" w:rsidP="00AB1450">
      <w:pPr>
        <w:pStyle w:val="CommentText"/>
      </w:pPr>
      <w:r w:rsidRPr="002C58B3">
        <w:rPr>
          <w:b/>
        </w:rPr>
        <w:t xml:space="preserve">Enfin, il a été décidé de renvoyer la matrice à tous les acteurs afin d’intégrer les observations énoncées ci-haut.    </w:t>
      </w:r>
      <w:r w:rsidR="00AB1450">
        <w:rPr>
          <w:rStyle w:val="CommentReference"/>
        </w:rPr>
        <w:t/>
      </w:r>
      <w:r w:rsidR="00AB1450">
        <w:t>En ajoutant une note permettant de guider les acteurs sur « comment remplir la matrice », et quelles informations sont attendus exactement</w:t>
      </w:r>
    </w:p>
    <w:p w14:paraId="526D784A" w14:textId="77777777" w:rsidR="002C58B3" w:rsidRPr="002C58B3" w:rsidRDefault="002C58B3" w:rsidP="002C58B3">
      <w:pPr>
        <w:shd w:val="clear" w:color="auto" w:fill="D9D9D9" w:themeFill="background1" w:themeFillShade="D9"/>
        <w:jc w:val="both"/>
        <w:rPr>
          <w:b/>
        </w:rPr>
      </w:pPr>
    </w:p>
    <w:p w14:paraId="4CAC9190" w14:textId="77777777" w:rsidR="00156974" w:rsidRDefault="00156974" w:rsidP="00156974">
      <w:pPr>
        <w:spacing w:after="0"/>
        <w:jc w:val="both"/>
      </w:pPr>
    </w:p>
    <w:p w14:paraId="1359239F" w14:textId="77777777" w:rsidR="001505C9" w:rsidRDefault="001505C9" w:rsidP="00156974">
      <w:pPr>
        <w:pStyle w:val="ListParagraph"/>
        <w:numPr>
          <w:ilvl w:val="0"/>
          <w:numId w:val="1"/>
        </w:numPr>
        <w:jc w:val="both"/>
        <w:rPr>
          <w:b/>
        </w:rPr>
      </w:pPr>
      <w:r>
        <w:rPr>
          <w:b/>
        </w:rPr>
        <w:t>Revue et finalisation des TDRs 2019 du MSCWG</w:t>
      </w:r>
    </w:p>
    <w:p w14:paraId="5DB84A39" w14:textId="77777777" w:rsidR="00C24BBF" w:rsidRDefault="00EB6047" w:rsidP="00F23ED0">
      <w:pPr>
        <w:jc w:val="both"/>
      </w:pPr>
      <w:r>
        <w:t>En deuxième point de l’ordre du jour l</w:t>
      </w:r>
      <w:r w:rsidR="00F23ED0" w:rsidRPr="00F23ED0">
        <w:t xml:space="preserve">es </w:t>
      </w:r>
      <w:r w:rsidR="00F23ED0">
        <w:t xml:space="preserve">TDRs partagés </w:t>
      </w:r>
      <w:r w:rsidR="009262CB">
        <w:t xml:space="preserve">il </w:t>
      </w:r>
      <w:r w:rsidR="00F23ED0">
        <w:t xml:space="preserve">y’a quelques semaines à tous les membre du groupe </w:t>
      </w:r>
      <w:r w:rsidR="00107F67">
        <w:t xml:space="preserve">MSCWG </w:t>
      </w:r>
      <w:r w:rsidR="00F23ED0">
        <w:t xml:space="preserve">a fait </w:t>
      </w:r>
      <w:r>
        <w:t xml:space="preserve">également </w:t>
      </w:r>
      <w:r w:rsidR="00F23ED0">
        <w:t xml:space="preserve">l’objet de discussions et de propositions </w:t>
      </w:r>
      <w:r>
        <w:t xml:space="preserve">dont </w:t>
      </w:r>
      <w:r w:rsidR="00107F67">
        <w:t>p</w:t>
      </w:r>
      <w:r w:rsidR="00F23ED0">
        <w:t xml:space="preserve">armi lesquelles on peut </w:t>
      </w:r>
      <w:r w:rsidR="00107F67">
        <w:t xml:space="preserve">en </w:t>
      </w:r>
      <w:r>
        <w:t>retenir</w:t>
      </w:r>
      <w:r w:rsidR="00F23ED0">
        <w:t xml:space="preserve"> : </w:t>
      </w:r>
    </w:p>
    <w:p w14:paraId="02046725" w14:textId="5CE8E24F" w:rsidR="00F23ED0" w:rsidRDefault="00F23ED0" w:rsidP="00F23ED0">
      <w:pPr>
        <w:pStyle w:val="ListParagraph"/>
        <w:numPr>
          <w:ilvl w:val="0"/>
          <w:numId w:val="4"/>
        </w:numPr>
        <w:jc w:val="both"/>
      </w:pPr>
      <w:r>
        <w:lastRenderedPageBreak/>
        <w:t xml:space="preserve">La déclinaison du rôle de co-facilitateur ; </w:t>
      </w:r>
      <w:r w:rsidR="00AB1450">
        <w:t>En renforçant l’aspect technique des co-facilitateurs, et leur habilité à pouvoir mener des chantiers techniques en dehors des Réunion du CWG</w:t>
      </w:r>
    </w:p>
    <w:p w14:paraId="7DF5A245" w14:textId="7066CB90" w:rsidR="00F23ED0" w:rsidRDefault="00F23ED0" w:rsidP="00F23ED0">
      <w:pPr>
        <w:pStyle w:val="ListParagraph"/>
        <w:numPr>
          <w:ilvl w:val="0"/>
          <w:numId w:val="4"/>
        </w:numPr>
        <w:jc w:val="both"/>
      </w:pPr>
      <w:r>
        <w:t xml:space="preserve">La clarification de la partie « Objectifs » à celle des « Responsabilités » du Groupe ; </w:t>
      </w:r>
      <w:r w:rsidR="00AB1450" w:rsidRPr="00AB1450">
        <w:t xml:space="preserve"> </w:t>
      </w:r>
      <w:r w:rsidR="00AB1450">
        <w:t>Ainsi qu’un détail exhaustif des rôles et responsabilités des Co-leads et des co-facilitateurs</w:t>
      </w:r>
    </w:p>
    <w:p w14:paraId="535F3B3C" w14:textId="77777777" w:rsidR="001505C9" w:rsidRPr="00F23ED0" w:rsidRDefault="00F23ED0" w:rsidP="00F23ED0">
      <w:pPr>
        <w:pStyle w:val="ListParagraph"/>
        <w:numPr>
          <w:ilvl w:val="0"/>
          <w:numId w:val="4"/>
        </w:numPr>
        <w:jc w:val="both"/>
        <w:rPr>
          <w:b/>
        </w:rPr>
      </w:pPr>
      <w:r>
        <w:t xml:space="preserve">Le </w:t>
      </w:r>
      <w:r w:rsidR="001237A5">
        <w:t xml:space="preserve">Co-lead du groupe le DNPGCA est ce qu’il faut continuer à le garder vu leur absence répété aux réunions ou autre activités du MSCWG ou l’attribuer à une autre organisation ? </w:t>
      </w:r>
    </w:p>
    <w:p w14:paraId="07705B9F" w14:textId="77777777" w:rsidR="00F23ED0" w:rsidRDefault="00F23ED0" w:rsidP="00F23ED0">
      <w:pPr>
        <w:pStyle w:val="ListParagraph"/>
        <w:numPr>
          <w:ilvl w:val="0"/>
          <w:numId w:val="4"/>
        </w:numPr>
        <w:jc w:val="both"/>
      </w:pPr>
      <w:r w:rsidRPr="00F23ED0">
        <w:t xml:space="preserve">La </w:t>
      </w:r>
      <w:r>
        <w:t xml:space="preserve">gestion de la fonction de rapportage /CR des réunions. </w:t>
      </w:r>
    </w:p>
    <w:p w14:paraId="7C7788AC" w14:textId="77777777" w:rsidR="00F23ED0" w:rsidRPr="00F23ED0" w:rsidRDefault="00EB6047" w:rsidP="00F23ED0">
      <w:pPr>
        <w:shd w:val="clear" w:color="auto" w:fill="D9D9D9" w:themeFill="background1" w:themeFillShade="D9"/>
        <w:jc w:val="both"/>
        <w:rPr>
          <w:b/>
        </w:rPr>
      </w:pPr>
      <w:r>
        <w:rPr>
          <w:b/>
        </w:rPr>
        <w:t>Toutefois, t</w:t>
      </w:r>
      <w:r w:rsidR="00107F67">
        <w:rPr>
          <w:b/>
        </w:rPr>
        <w:t xml:space="preserve">out comme le premier </w:t>
      </w:r>
      <w:r w:rsidR="00593AAF">
        <w:rPr>
          <w:b/>
        </w:rPr>
        <w:t>point,</w:t>
      </w:r>
      <w:r w:rsidR="00F23ED0" w:rsidRPr="00F23ED0">
        <w:rPr>
          <w:b/>
        </w:rPr>
        <w:t xml:space="preserve"> </w:t>
      </w:r>
      <w:r w:rsidR="00593AAF">
        <w:rPr>
          <w:b/>
        </w:rPr>
        <w:t>la réunion a décidé sur un N-ième partage de TDRs aux membres du MSCWG pour les dernières observations et la prise en compte de celles partagées et discutées lors de la réunion.</w:t>
      </w:r>
      <w:r w:rsidR="00F23ED0" w:rsidRPr="00F23ED0">
        <w:rPr>
          <w:b/>
        </w:rPr>
        <w:t xml:space="preserve">   </w:t>
      </w:r>
    </w:p>
    <w:p w14:paraId="10C32B3E" w14:textId="77777777" w:rsidR="001505C9" w:rsidRDefault="001505C9" w:rsidP="00156974">
      <w:pPr>
        <w:pStyle w:val="ListParagraph"/>
        <w:numPr>
          <w:ilvl w:val="0"/>
          <w:numId w:val="1"/>
        </w:numPr>
        <w:jc w:val="both"/>
        <w:rPr>
          <w:b/>
        </w:rPr>
      </w:pPr>
      <w:r>
        <w:rPr>
          <w:b/>
        </w:rPr>
        <w:t xml:space="preserve">Présentation des résultats de l’étude de faisabilité TM de Diffa &amp; Discussions </w:t>
      </w:r>
    </w:p>
    <w:p w14:paraId="2A5EADA3" w14:textId="77777777" w:rsidR="001505C9" w:rsidRDefault="001E6D4D" w:rsidP="0013276A">
      <w:pPr>
        <w:jc w:val="both"/>
      </w:pPr>
      <w:r>
        <w:t xml:space="preserve">La réunion s’est poursuivie avec la présentation des résultats préliminaires de l’étude de faisabilité des transferts monétaires dans la région de Diffa pilotée par Reach en collaboration avec les agences UN (PAM, OCHA, UNICEF et HCR), et autres partenaires humanitaires. </w:t>
      </w:r>
      <w:r w:rsidR="00F74AE9">
        <w:t>En effet, l</w:t>
      </w:r>
      <w:r>
        <w:t xml:space="preserve">a première partie de </w:t>
      </w:r>
      <w:r w:rsidR="00F74AE9">
        <w:t xml:space="preserve">la présente </w:t>
      </w:r>
      <w:r>
        <w:t xml:space="preserve">communication </w:t>
      </w:r>
      <w:r w:rsidR="00F74AE9">
        <w:t>a consisté à un rappel du contexte, des objectifs et de l’approche méthodologique consentie par les différentes parties prenantes pour cette évaluation. Cette dernière déroulée à travers une approche mixte (quantitative et qualitative) a concerné selon la représentante de Reach</w:t>
      </w:r>
      <w:r w:rsidR="001237A5">
        <w:t xml:space="preserve">, 45 marchés fonctionnels , </w:t>
      </w:r>
      <w:r w:rsidR="00F74AE9">
        <w:t>21 villages repartis dans les 12 communes de la région de Diffa (où également 72 groupes de discussions ont y é</w:t>
      </w:r>
      <w:r w:rsidR="005F593E">
        <w:t>té conduit)</w:t>
      </w:r>
      <w:r w:rsidR="001237A5">
        <w:t>, les IMF et Téléphonies mobiles et les partenaires de mise en œuvre</w:t>
      </w:r>
      <w:r w:rsidR="00F74AE9">
        <w:t xml:space="preserve">.  </w:t>
      </w:r>
    </w:p>
    <w:p w14:paraId="0D37FDF7" w14:textId="77777777" w:rsidR="00BF75EC" w:rsidRDefault="005F593E" w:rsidP="00BF75EC">
      <w:pPr>
        <w:spacing w:after="0" w:line="240" w:lineRule="auto"/>
      </w:pPr>
      <w:r>
        <w:t xml:space="preserve">La deuxième partie </w:t>
      </w:r>
      <w:r w:rsidR="00BF75EC">
        <w:t xml:space="preserve">de la présentation de Reach a trait aux principaux résultats de l’évaluation de Diffa dont le contenu est accessible au lien ci-après :  </w:t>
      </w:r>
      <w:hyperlink r:id="rId8" w:history="1">
        <w:r w:rsidR="00BF75EC" w:rsidRPr="00BF75EC">
          <w:rPr>
            <w:rStyle w:val="Hyperlink"/>
            <w:rFonts w:ascii="Arial Narrow" w:hAnsi="Arial Narrow"/>
          </w:rPr>
          <w:t>http://bit.ly/2X3SiGM</w:t>
        </w:r>
      </w:hyperlink>
    </w:p>
    <w:p w14:paraId="3816A59A" w14:textId="77777777" w:rsidR="001963EF" w:rsidRDefault="001963EF" w:rsidP="0013276A">
      <w:pPr>
        <w:jc w:val="both"/>
      </w:pPr>
    </w:p>
    <w:p w14:paraId="57DBD99D" w14:textId="77777777" w:rsidR="00245848" w:rsidRPr="00D569EA" w:rsidRDefault="001963EF" w:rsidP="001237A5">
      <w:pPr>
        <w:shd w:val="clear" w:color="auto" w:fill="D9D9D9" w:themeFill="background1" w:themeFillShade="D9"/>
        <w:spacing w:after="0"/>
        <w:jc w:val="both"/>
        <w:rPr>
          <w:b/>
        </w:rPr>
      </w:pPr>
      <w:r w:rsidRPr="00D569EA">
        <w:rPr>
          <w:b/>
        </w:rPr>
        <w:t xml:space="preserve">A l’issue de </w:t>
      </w:r>
      <w:r w:rsidR="008969EB" w:rsidRPr="00D569EA">
        <w:rPr>
          <w:b/>
        </w:rPr>
        <w:t xml:space="preserve">la </w:t>
      </w:r>
      <w:r w:rsidRPr="00D569EA">
        <w:rPr>
          <w:b/>
        </w:rPr>
        <w:t>présentation</w:t>
      </w:r>
      <w:r w:rsidR="008969EB" w:rsidRPr="00D569EA">
        <w:rPr>
          <w:b/>
        </w:rPr>
        <w:t xml:space="preserve"> </w:t>
      </w:r>
      <w:r w:rsidR="00245848" w:rsidRPr="00D569EA">
        <w:rPr>
          <w:b/>
        </w:rPr>
        <w:t xml:space="preserve">les points suivants ont été recommandés : </w:t>
      </w:r>
    </w:p>
    <w:p w14:paraId="28383F9E" w14:textId="71304506" w:rsidR="00245848" w:rsidRPr="007A6E9C" w:rsidRDefault="00245848" w:rsidP="007A6E9C">
      <w:pPr>
        <w:pStyle w:val="ListParagraph"/>
        <w:numPr>
          <w:ilvl w:val="0"/>
          <w:numId w:val="4"/>
        </w:numPr>
        <w:shd w:val="clear" w:color="auto" w:fill="D9D9D9" w:themeFill="background1" w:themeFillShade="D9"/>
        <w:spacing w:after="0"/>
        <w:jc w:val="both"/>
        <w:rPr>
          <w:b/>
        </w:rPr>
      </w:pPr>
      <w:r w:rsidRPr="007A6E9C">
        <w:rPr>
          <w:b/>
        </w:rPr>
        <w:t>Finaliser les  recommandations de l’étude, une rencontre restreinte pour revoir et formuler des recommandation est prévue l</w:t>
      </w:r>
      <w:r w:rsidR="00B8637D" w:rsidRPr="007A6E9C">
        <w:rPr>
          <w:b/>
        </w:rPr>
        <w:t xml:space="preserve">e 2 juillet </w:t>
      </w:r>
      <w:r w:rsidRPr="007A6E9C">
        <w:rPr>
          <w:b/>
        </w:rPr>
        <w:t xml:space="preserve">. </w:t>
      </w:r>
    </w:p>
    <w:p w14:paraId="10ED533D" w14:textId="3CF8D7FA" w:rsidR="001963EF" w:rsidRDefault="00245848" w:rsidP="007A6E9C">
      <w:pPr>
        <w:pStyle w:val="ListParagraph"/>
        <w:numPr>
          <w:ilvl w:val="0"/>
          <w:numId w:val="4"/>
        </w:numPr>
        <w:shd w:val="clear" w:color="auto" w:fill="D9D9D9" w:themeFill="background1" w:themeFillShade="D9"/>
        <w:spacing w:after="0"/>
        <w:jc w:val="both"/>
        <w:rPr>
          <w:b/>
        </w:rPr>
      </w:pPr>
      <w:r w:rsidRPr="00D569EA">
        <w:rPr>
          <w:b/>
        </w:rPr>
        <w:t xml:space="preserve">Restituer les résultats de l’étude à </w:t>
      </w:r>
      <w:r w:rsidR="001963EF" w:rsidRPr="00D569EA">
        <w:rPr>
          <w:b/>
        </w:rPr>
        <w:t xml:space="preserve">l’ICC pour validation à </w:t>
      </w:r>
      <w:r w:rsidRPr="00D569EA">
        <w:rPr>
          <w:b/>
        </w:rPr>
        <w:t xml:space="preserve">sa </w:t>
      </w:r>
      <w:r w:rsidR="001963EF" w:rsidRPr="00D569EA">
        <w:rPr>
          <w:b/>
        </w:rPr>
        <w:t>prochaine rencontre d</w:t>
      </w:r>
      <w:r w:rsidR="00B8637D" w:rsidRPr="00D569EA">
        <w:rPr>
          <w:b/>
        </w:rPr>
        <w:t xml:space="preserve">u mois de </w:t>
      </w:r>
      <w:r w:rsidR="001963EF" w:rsidRPr="00D569EA">
        <w:rPr>
          <w:b/>
        </w:rPr>
        <w:t xml:space="preserve"> juillet 2019. </w:t>
      </w:r>
    </w:p>
    <w:p w14:paraId="3E5FA552" w14:textId="08820C6E" w:rsidR="00AB1450" w:rsidRPr="007A6E9C" w:rsidRDefault="007A6E9C" w:rsidP="007A6E9C">
      <w:pPr>
        <w:pStyle w:val="ListParagraph"/>
        <w:numPr>
          <w:ilvl w:val="0"/>
          <w:numId w:val="4"/>
        </w:numPr>
        <w:shd w:val="clear" w:color="auto" w:fill="D9D9D9" w:themeFill="background1" w:themeFillShade="D9"/>
        <w:spacing w:after="0"/>
        <w:jc w:val="both"/>
        <w:rPr>
          <w:b/>
        </w:rPr>
      </w:pPr>
      <w:r>
        <w:rPr>
          <w:b/>
        </w:rPr>
        <w:t>E</w:t>
      </w:r>
      <w:r w:rsidR="00AB1450" w:rsidRPr="007A6E9C">
        <w:rPr>
          <w:b/>
        </w:rPr>
        <w:t xml:space="preserve">tendre l’étude REACH aux zones de Tahoua et Tillabéri rapidement sur la base de la même modalité, avec un éventuel appui des autres partenaires </w:t>
      </w:r>
      <w:r w:rsidR="00AB1450" w:rsidRPr="007A6E9C">
        <w:rPr>
          <w:b/>
        </w:rPr>
        <w:t>de la</w:t>
      </w:r>
      <w:r w:rsidR="00AB1450" w:rsidRPr="007A6E9C">
        <w:rPr>
          <w:b/>
        </w:rPr>
        <w:t xml:space="preserve"> zone</w:t>
      </w:r>
      <w:r w:rsidR="00AB1450" w:rsidRPr="007A6E9C">
        <w:rPr>
          <w:b/>
        </w:rPr>
        <w:t xml:space="preserve"> a été évoqué. </w:t>
      </w:r>
    </w:p>
    <w:p w14:paraId="1E3DFA8A" w14:textId="77777777" w:rsidR="007A6E9C" w:rsidRDefault="007A6E9C" w:rsidP="007A6E9C">
      <w:pPr>
        <w:pStyle w:val="ListParagraph"/>
        <w:jc w:val="both"/>
        <w:rPr>
          <w:b/>
        </w:rPr>
      </w:pPr>
      <w:bookmarkStart w:id="0" w:name="_GoBack"/>
      <w:bookmarkEnd w:id="0"/>
    </w:p>
    <w:p w14:paraId="7B9EFF88" w14:textId="02735985" w:rsidR="001505C9" w:rsidRDefault="001505C9" w:rsidP="00156974">
      <w:pPr>
        <w:pStyle w:val="ListParagraph"/>
        <w:numPr>
          <w:ilvl w:val="0"/>
          <w:numId w:val="1"/>
        </w:numPr>
        <w:jc w:val="both"/>
        <w:rPr>
          <w:b/>
        </w:rPr>
      </w:pPr>
      <w:r>
        <w:rPr>
          <w:b/>
        </w:rPr>
        <w:t xml:space="preserve">Divers </w:t>
      </w:r>
    </w:p>
    <w:p w14:paraId="1DBE0356" w14:textId="77777777" w:rsidR="008969EB" w:rsidRPr="008969EB" w:rsidRDefault="008969EB" w:rsidP="008969EB">
      <w:pPr>
        <w:jc w:val="both"/>
      </w:pPr>
      <w:r w:rsidRPr="008969EB">
        <w:t>En divers 2 points ont été proposé aux participants :</w:t>
      </w:r>
    </w:p>
    <w:p w14:paraId="1D92C8B2" w14:textId="77777777" w:rsidR="001505C9" w:rsidRPr="00C51F36" w:rsidRDefault="001505C9" w:rsidP="001505C9">
      <w:pPr>
        <w:pStyle w:val="ListParagraph"/>
        <w:numPr>
          <w:ilvl w:val="0"/>
          <w:numId w:val="6"/>
        </w:numPr>
        <w:jc w:val="both"/>
        <w:rPr>
          <w:b/>
        </w:rPr>
      </w:pPr>
      <w:r>
        <w:rPr>
          <w:b/>
        </w:rPr>
        <w:t xml:space="preserve">Prochaines formations CaLP : </w:t>
      </w:r>
      <w:r>
        <w:t xml:space="preserve">Le catalogue de formation CaLP au titre de l’année 2019 sera à nouveau partagé afin de permettre aux structures/membres du </w:t>
      </w:r>
      <w:r w:rsidR="00B8637D">
        <w:t>MS</w:t>
      </w:r>
      <w:r>
        <w:t xml:space="preserve">CWG de manifester leur intérêt en matière de formation/appui </w:t>
      </w:r>
      <w:r w:rsidR="00C51F36">
        <w:t>vis-à-vis du grand forum CaLP.</w:t>
      </w:r>
    </w:p>
    <w:p w14:paraId="232A0EF6" w14:textId="77777777" w:rsidR="00C51F36" w:rsidRPr="00C51F36" w:rsidRDefault="00C51F36" w:rsidP="001505C9">
      <w:pPr>
        <w:pStyle w:val="ListParagraph"/>
        <w:numPr>
          <w:ilvl w:val="0"/>
          <w:numId w:val="6"/>
        </w:numPr>
        <w:jc w:val="both"/>
        <w:rPr>
          <w:b/>
        </w:rPr>
      </w:pPr>
      <w:r>
        <w:rPr>
          <w:b/>
        </w:rPr>
        <w:t xml:space="preserve">Point sur l’état d’avancement du MEB : </w:t>
      </w:r>
      <w:r>
        <w:t xml:space="preserve">Ce point est reporté à la prochaine réunion (contrainte temps). </w:t>
      </w:r>
    </w:p>
    <w:p w14:paraId="1F8CB2FC" w14:textId="77777777" w:rsidR="003A4BC7" w:rsidRDefault="003A4BC7" w:rsidP="003A4BC7">
      <w:pPr>
        <w:jc w:val="both"/>
        <w:rPr>
          <w:b/>
        </w:rPr>
      </w:pPr>
      <w:r>
        <w:rPr>
          <w:b/>
        </w:rPr>
        <w:t xml:space="preserve">Autres recommandations de la réunion du 26/06/2019 </w:t>
      </w:r>
    </w:p>
    <w:p w14:paraId="73BB2930" w14:textId="77777777" w:rsidR="003A4BC7" w:rsidRDefault="003A4BC7" w:rsidP="003A4BC7">
      <w:pPr>
        <w:pStyle w:val="ListParagraph"/>
        <w:numPr>
          <w:ilvl w:val="0"/>
          <w:numId w:val="4"/>
        </w:numPr>
        <w:jc w:val="both"/>
      </w:pPr>
      <w:r w:rsidRPr="003A4BC7">
        <w:lastRenderedPageBreak/>
        <w:t>Réactivation du comité ad hoc sur l’élaboration des TDRs de l’étude de faisabilité de CBT dans la région de Tillabéri</w:t>
      </w:r>
      <w:r w:rsidR="00245848">
        <w:t>- Tahoua</w:t>
      </w:r>
      <w:r w:rsidRPr="003A4BC7">
        <w:t xml:space="preserve"> (OCHA et HCR pour le suivi). </w:t>
      </w:r>
    </w:p>
    <w:p w14:paraId="6E2806C1" w14:textId="01EAC68C" w:rsidR="003A4BC7" w:rsidRDefault="003A4BC7" w:rsidP="003A4BC7">
      <w:pPr>
        <w:pStyle w:val="ListParagraph"/>
        <w:numPr>
          <w:ilvl w:val="0"/>
          <w:numId w:val="4"/>
        </w:numPr>
        <w:jc w:val="both"/>
      </w:pPr>
      <w:r>
        <w:t xml:space="preserve">Dates/Périodicité de la tenue de réunions du CWG : La réunion a décidé que désormais les rencontres du MSCWG se tiendront chaque dernier Mercredi du mois ; ce qui porterait la prochaine réunion </w:t>
      </w:r>
      <w:r w:rsidRPr="00245848">
        <w:rPr>
          <w:b/>
        </w:rPr>
        <w:t>à la date du 31 juillet 2019</w:t>
      </w:r>
      <w:r>
        <w:t xml:space="preserve">.  </w:t>
      </w:r>
    </w:p>
    <w:p w14:paraId="1DB50DB8" w14:textId="1DFCCF2B" w:rsidR="00AB1450" w:rsidRPr="00AB1450" w:rsidRDefault="00AB1450" w:rsidP="00AB1450">
      <w:pPr>
        <w:pStyle w:val="CommentText"/>
        <w:numPr>
          <w:ilvl w:val="0"/>
          <w:numId w:val="4"/>
        </w:numPr>
        <w:rPr>
          <w:sz w:val="22"/>
          <w:szCs w:val="22"/>
        </w:rPr>
      </w:pPr>
      <w:r w:rsidRPr="00AB1450">
        <w:rPr>
          <w:sz w:val="22"/>
          <w:szCs w:val="22"/>
        </w:rPr>
        <w:t>L</w:t>
      </w:r>
      <w:r w:rsidRPr="00AB1450">
        <w:rPr>
          <w:sz w:val="22"/>
          <w:szCs w:val="22"/>
        </w:rPr>
        <w:t>’établissement le plus rapidement possible d’un plan de travail pour le MSCWG. Ceci faciliterait également l’identification des co-facilitateurs en fonction des thématiques à travailler</w:t>
      </w:r>
    </w:p>
    <w:p w14:paraId="26CFA7F3" w14:textId="77777777" w:rsidR="00AB1450" w:rsidRPr="003A4BC7" w:rsidRDefault="00AB1450" w:rsidP="00AB1450">
      <w:pPr>
        <w:pStyle w:val="ListParagraph"/>
        <w:jc w:val="both"/>
      </w:pPr>
    </w:p>
    <w:p w14:paraId="1097FEBF" w14:textId="77777777" w:rsidR="001505C9" w:rsidRDefault="001505C9" w:rsidP="001505C9">
      <w:pPr>
        <w:pStyle w:val="ListParagraph"/>
        <w:jc w:val="both"/>
        <w:rPr>
          <w:b/>
        </w:rPr>
      </w:pPr>
    </w:p>
    <w:sectPr w:rsidR="001505C9" w:rsidSect="00B8637D">
      <w:footerReference w:type="default" r:id="rId9"/>
      <w:pgSz w:w="11906" w:h="16838"/>
      <w:pgMar w:top="1134"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E8AB94" w16cid:durableId="20CF03BC"/>
  <w16cid:commentId w16cid:paraId="2B0B2675" w16cid:durableId="20CF0363"/>
  <w16cid:commentId w16cid:paraId="65CF1A3D" w16cid:durableId="20CF0327"/>
  <w16cid:commentId w16cid:paraId="552E77CA" w16cid:durableId="20CF02BD"/>
  <w16cid:commentId w16cid:paraId="72B67438" w16cid:durableId="20CF0469"/>
  <w16cid:commentId w16cid:paraId="5C958180" w16cid:durableId="20CF04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F22F4" w14:textId="77777777" w:rsidR="00C34F70" w:rsidRDefault="00C34F70" w:rsidP="007A77F5">
      <w:pPr>
        <w:spacing w:after="0" w:line="240" w:lineRule="auto"/>
      </w:pPr>
      <w:r>
        <w:separator/>
      </w:r>
    </w:p>
  </w:endnote>
  <w:endnote w:type="continuationSeparator" w:id="0">
    <w:p w14:paraId="1FC6A1E1" w14:textId="77777777" w:rsidR="00C34F70" w:rsidRDefault="00C34F70" w:rsidP="007A7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115585"/>
      <w:docPartObj>
        <w:docPartGallery w:val="Page Numbers (Bottom of Page)"/>
        <w:docPartUnique/>
      </w:docPartObj>
    </w:sdtPr>
    <w:sdtEndPr/>
    <w:sdtContent>
      <w:p w14:paraId="33572587" w14:textId="3FC5A8BD" w:rsidR="007A77F5" w:rsidRDefault="007A77F5">
        <w:pPr>
          <w:pStyle w:val="Footer"/>
          <w:jc w:val="center"/>
        </w:pPr>
        <w:r>
          <w:fldChar w:fldCharType="begin"/>
        </w:r>
        <w:r>
          <w:instrText>PAGE   \* MERGEFORMAT</w:instrText>
        </w:r>
        <w:r>
          <w:fldChar w:fldCharType="separate"/>
        </w:r>
        <w:r w:rsidR="007A6E9C">
          <w:rPr>
            <w:noProof/>
          </w:rPr>
          <w:t>3</w:t>
        </w:r>
        <w:r>
          <w:fldChar w:fldCharType="end"/>
        </w:r>
      </w:p>
    </w:sdtContent>
  </w:sdt>
  <w:p w14:paraId="314773AD" w14:textId="77777777" w:rsidR="007A77F5" w:rsidRDefault="007A7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99C75" w14:textId="77777777" w:rsidR="00C34F70" w:rsidRDefault="00C34F70" w:rsidP="007A77F5">
      <w:pPr>
        <w:spacing w:after="0" w:line="240" w:lineRule="auto"/>
      </w:pPr>
      <w:r>
        <w:separator/>
      </w:r>
    </w:p>
  </w:footnote>
  <w:footnote w:type="continuationSeparator" w:id="0">
    <w:p w14:paraId="66678377" w14:textId="77777777" w:rsidR="00C34F70" w:rsidRDefault="00C34F70" w:rsidP="007A7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689"/>
    <w:multiLevelType w:val="hybridMultilevel"/>
    <w:tmpl w:val="50A67DE2"/>
    <w:lvl w:ilvl="0" w:tplc="F5F2C59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91030A"/>
    <w:multiLevelType w:val="hybridMultilevel"/>
    <w:tmpl w:val="ED381DC6"/>
    <w:lvl w:ilvl="0" w:tplc="257C7F2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8A22754"/>
    <w:multiLevelType w:val="hybridMultilevel"/>
    <w:tmpl w:val="84541F50"/>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27175996"/>
    <w:multiLevelType w:val="hybridMultilevel"/>
    <w:tmpl w:val="66A2C466"/>
    <w:lvl w:ilvl="0" w:tplc="D368C9B2">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43DA3227"/>
    <w:multiLevelType w:val="hybridMultilevel"/>
    <w:tmpl w:val="5E266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BC5640"/>
    <w:multiLevelType w:val="hybridMultilevel"/>
    <w:tmpl w:val="4C86396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8D15C55"/>
    <w:multiLevelType w:val="hybridMultilevel"/>
    <w:tmpl w:val="033A1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974"/>
    <w:rsid w:val="000922E6"/>
    <w:rsid w:val="000A277D"/>
    <w:rsid w:val="000D4593"/>
    <w:rsid w:val="000E0806"/>
    <w:rsid w:val="00107F67"/>
    <w:rsid w:val="001237A5"/>
    <w:rsid w:val="0013276A"/>
    <w:rsid w:val="001505C9"/>
    <w:rsid w:val="00155549"/>
    <w:rsid w:val="00156974"/>
    <w:rsid w:val="00161FE6"/>
    <w:rsid w:val="001963EF"/>
    <w:rsid w:val="001A62C9"/>
    <w:rsid w:val="001D07DF"/>
    <w:rsid w:val="001E6D4D"/>
    <w:rsid w:val="001F4A91"/>
    <w:rsid w:val="002110FC"/>
    <w:rsid w:val="00245848"/>
    <w:rsid w:val="00297863"/>
    <w:rsid w:val="002A5991"/>
    <w:rsid w:val="002C58B3"/>
    <w:rsid w:val="002F1E00"/>
    <w:rsid w:val="00303867"/>
    <w:rsid w:val="00323D44"/>
    <w:rsid w:val="003A4BC7"/>
    <w:rsid w:val="003B4734"/>
    <w:rsid w:val="003C7646"/>
    <w:rsid w:val="003F0E59"/>
    <w:rsid w:val="003F6782"/>
    <w:rsid w:val="003F7A69"/>
    <w:rsid w:val="00412BD7"/>
    <w:rsid w:val="00593AAF"/>
    <w:rsid w:val="005F593E"/>
    <w:rsid w:val="006D7B6A"/>
    <w:rsid w:val="006F5B52"/>
    <w:rsid w:val="00722214"/>
    <w:rsid w:val="00773879"/>
    <w:rsid w:val="007A6E9C"/>
    <w:rsid w:val="007A77F5"/>
    <w:rsid w:val="007B20CF"/>
    <w:rsid w:val="007C562A"/>
    <w:rsid w:val="008235E0"/>
    <w:rsid w:val="008272C5"/>
    <w:rsid w:val="0089299B"/>
    <w:rsid w:val="008969EB"/>
    <w:rsid w:val="008C1662"/>
    <w:rsid w:val="008D4162"/>
    <w:rsid w:val="009262CB"/>
    <w:rsid w:val="0095602C"/>
    <w:rsid w:val="009D583A"/>
    <w:rsid w:val="00A54C6F"/>
    <w:rsid w:val="00A63648"/>
    <w:rsid w:val="00AB1450"/>
    <w:rsid w:val="00AB4197"/>
    <w:rsid w:val="00B142C5"/>
    <w:rsid w:val="00B46B26"/>
    <w:rsid w:val="00B526EA"/>
    <w:rsid w:val="00B8637D"/>
    <w:rsid w:val="00BB164B"/>
    <w:rsid w:val="00BD466E"/>
    <w:rsid w:val="00BD631B"/>
    <w:rsid w:val="00BF75EC"/>
    <w:rsid w:val="00C24BBF"/>
    <w:rsid w:val="00C34F70"/>
    <w:rsid w:val="00C451C4"/>
    <w:rsid w:val="00C51F36"/>
    <w:rsid w:val="00CA4567"/>
    <w:rsid w:val="00CE7CD6"/>
    <w:rsid w:val="00D017C0"/>
    <w:rsid w:val="00D41E66"/>
    <w:rsid w:val="00D53F4B"/>
    <w:rsid w:val="00D569EA"/>
    <w:rsid w:val="00D718E3"/>
    <w:rsid w:val="00D77EEF"/>
    <w:rsid w:val="00D94786"/>
    <w:rsid w:val="00E52F76"/>
    <w:rsid w:val="00E74C3A"/>
    <w:rsid w:val="00EB6047"/>
    <w:rsid w:val="00F23ED0"/>
    <w:rsid w:val="00F4786F"/>
    <w:rsid w:val="00F604DE"/>
    <w:rsid w:val="00F62BC1"/>
    <w:rsid w:val="00F7221E"/>
    <w:rsid w:val="00F74AE9"/>
    <w:rsid w:val="00FE5D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A1B9E"/>
  <w15:docId w15:val="{C2A1EC02-A5FC-4A3C-A407-1BBA18FF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974"/>
    <w:pPr>
      <w:ind w:left="720"/>
      <w:contextualSpacing/>
    </w:pPr>
  </w:style>
  <w:style w:type="paragraph" w:styleId="Header">
    <w:name w:val="header"/>
    <w:basedOn w:val="Normal"/>
    <w:link w:val="HeaderChar"/>
    <w:uiPriority w:val="99"/>
    <w:unhideWhenUsed/>
    <w:rsid w:val="007A77F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77F5"/>
  </w:style>
  <w:style w:type="paragraph" w:styleId="Footer">
    <w:name w:val="footer"/>
    <w:basedOn w:val="Normal"/>
    <w:link w:val="FooterChar"/>
    <w:uiPriority w:val="99"/>
    <w:unhideWhenUsed/>
    <w:rsid w:val="007A77F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77F5"/>
  </w:style>
  <w:style w:type="character" w:styleId="Hyperlink">
    <w:name w:val="Hyperlink"/>
    <w:basedOn w:val="DefaultParagraphFont"/>
    <w:uiPriority w:val="99"/>
    <w:semiHidden/>
    <w:unhideWhenUsed/>
    <w:rsid w:val="00BF75EC"/>
    <w:rPr>
      <w:color w:val="0563C1"/>
      <w:u w:val="single"/>
    </w:rPr>
  </w:style>
  <w:style w:type="character" w:styleId="CommentReference">
    <w:name w:val="annotation reference"/>
    <w:basedOn w:val="DefaultParagraphFont"/>
    <w:uiPriority w:val="99"/>
    <w:semiHidden/>
    <w:unhideWhenUsed/>
    <w:rsid w:val="002A5991"/>
    <w:rPr>
      <w:sz w:val="16"/>
      <w:szCs w:val="16"/>
    </w:rPr>
  </w:style>
  <w:style w:type="paragraph" w:styleId="CommentText">
    <w:name w:val="annotation text"/>
    <w:basedOn w:val="Normal"/>
    <w:link w:val="CommentTextChar"/>
    <w:uiPriority w:val="99"/>
    <w:semiHidden/>
    <w:unhideWhenUsed/>
    <w:rsid w:val="002A5991"/>
    <w:pPr>
      <w:spacing w:line="240" w:lineRule="auto"/>
    </w:pPr>
    <w:rPr>
      <w:sz w:val="20"/>
      <w:szCs w:val="20"/>
    </w:rPr>
  </w:style>
  <w:style w:type="character" w:customStyle="1" w:styleId="CommentTextChar">
    <w:name w:val="Comment Text Char"/>
    <w:basedOn w:val="DefaultParagraphFont"/>
    <w:link w:val="CommentText"/>
    <w:uiPriority w:val="99"/>
    <w:semiHidden/>
    <w:rsid w:val="002A5991"/>
    <w:rPr>
      <w:sz w:val="20"/>
      <w:szCs w:val="20"/>
    </w:rPr>
  </w:style>
  <w:style w:type="paragraph" w:styleId="CommentSubject">
    <w:name w:val="annotation subject"/>
    <w:basedOn w:val="CommentText"/>
    <w:next w:val="CommentText"/>
    <w:link w:val="CommentSubjectChar"/>
    <w:uiPriority w:val="99"/>
    <w:semiHidden/>
    <w:unhideWhenUsed/>
    <w:rsid w:val="002A5991"/>
    <w:rPr>
      <w:b/>
      <w:bCs/>
    </w:rPr>
  </w:style>
  <w:style w:type="character" w:customStyle="1" w:styleId="CommentSubjectChar">
    <w:name w:val="Comment Subject Char"/>
    <w:basedOn w:val="CommentTextChar"/>
    <w:link w:val="CommentSubject"/>
    <w:uiPriority w:val="99"/>
    <w:semiHidden/>
    <w:rsid w:val="002A5991"/>
    <w:rPr>
      <w:b/>
      <w:bCs/>
      <w:sz w:val="20"/>
      <w:szCs w:val="20"/>
    </w:rPr>
  </w:style>
  <w:style w:type="paragraph" w:styleId="BalloonText">
    <w:name w:val="Balloon Text"/>
    <w:basedOn w:val="Normal"/>
    <w:link w:val="BalloonTextChar"/>
    <w:uiPriority w:val="99"/>
    <w:semiHidden/>
    <w:unhideWhenUsed/>
    <w:rsid w:val="002A5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9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867587">
      <w:bodyDiv w:val="1"/>
      <w:marLeft w:val="0"/>
      <w:marRight w:val="0"/>
      <w:marTop w:val="0"/>
      <w:marBottom w:val="0"/>
      <w:divBdr>
        <w:top w:val="none" w:sz="0" w:space="0" w:color="auto"/>
        <w:left w:val="none" w:sz="0" w:space="0" w:color="auto"/>
        <w:bottom w:val="none" w:sz="0" w:space="0" w:color="auto"/>
        <w:right w:val="none" w:sz="0" w:space="0" w:color="auto"/>
      </w:divBdr>
    </w:div>
    <w:div w:id="820733268">
      <w:bodyDiv w:val="1"/>
      <w:marLeft w:val="0"/>
      <w:marRight w:val="0"/>
      <w:marTop w:val="0"/>
      <w:marBottom w:val="0"/>
      <w:divBdr>
        <w:top w:val="none" w:sz="0" w:space="0" w:color="auto"/>
        <w:left w:val="none" w:sz="0" w:space="0" w:color="auto"/>
        <w:bottom w:val="none" w:sz="0" w:space="0" w:color="auto"/>
        <w:right w:val="none" w:sz="0" w:space="0" w:color="auto"/>
      </w:divBdr>
    </w:div>
    <w:div w:id="107774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3A%2F%2Fbit.ly%2F2X3SiGM&amp;data=02%7C01%7Csalifousanda.ousmane%40wfp.org%7C1b8ecd0d75f84d801e2208d6fe2daaa5%7C462ad9aed7d94206b87471b1e079776f%7C0%7C0%7C636975869430300456&amp;sdata=kGmXoSzAxvGn3hms11OxY1Jkn1JL%2FXe0U4O%2FlLem%2F6A%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75EAB-5155-40A6-A31B-F5489CDF8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4618</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Fadima Soumana</dc:creator>
  <cp:lastModifiedBy>Fadima Soumana</cp:lastModifiedBy>
  <cp:revision>3</cp:revision>
  <dcterms:created xsi:type="dcterms:W3CDTF">2019-07-31T09:47:00Z</dcterms:created>
  <dcterms:modified xsi:type="dcterms:W3CDTF">2019-07-31T09:50:00Z</dcterms:modified>
</cp:coreProperties>
</file>