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96238" w14:textId="3F7AD201" w:rsidR="005918DC" w:rsidRPr="001C0415" w:rsidRDefault="001C0415" w:rsidP="001C0415">
      <w:pPr>
        <w:spacing w:after="0"/>
        <w:jc w:val="center"/>
        <w:rPr>
          <w:b/>
          <w:sz w:val="28"/>
        </w:rPr>
      </w:pPr>
      <w:r w:rsidRPr="001C0415">
        <w:rPr>
          <w:b/>
          <w:sz w:val="28"/>
        </w:rPr>
        <w:t xml:space="preserve">CR réunion </w:t>
      </w:r>
      <w:r w:rsidR="00410D22">
        <w:rPr>
          <w:b/>
          <w:sz w:val="28"/>
        </w:rPr>
        <w:t>MS</w:t>
      </w:r>
      <w:r w:rsidRPr="001C0415">
        <w:rPr>
          <w:b/>
          <w:sz w:val="28"/>
        </w:rPr>
        <w:t>CWG</w:t>
      </w:r>
    </w:p>
    <w:p w14:paraId="3709C47A" w14:textId="77777777" w:rsidR="001C0415" w:rsidRPr="001C0415" w:rsidRDefault="001C0415" w:rsidP="001C0415">
      <w:pPr>
        <w:spacing w:after="0"/>
        <w:jc w:val="center"/>
        <w:rPr>
          <w:b/>
          <w:sz w:val="28"/>
        </w:rPr>
      </w:pPr>
      <w:r w:rsidRPr="001C0415">
        <w:rPr>
          <w:b/>
          <w:sz w:val="28"/>
        </w:rPr>
        <w:t>04/12/2019</w:t>
      </w:r>
    </w:p>
    <w:p w14:paraId="0CC356C3" w14:textId="77777777" w:rsidR="001C0415" w:rsidRDefault="001C0415"/>
    <w:p w14:paraId="3CE43388" w14:textId="77777777" w:rsidR="001C0415" w:rsidRPr="001C0415" w:rsidRDefault="001C0415" w:rsidP="001C0415">
      <w:pPr>
        <w:pStyle w:val="ListParagraph"/>
        <w:numPr>
          <w:ilvl w:val="0"/>
          <w:numId w:val="1"/>
        </w:numPr>
        <w:rPr>
          <w:b/>
        </w:rPr>
      </w:pPr>
      <w:r w:rsidRPr="001C0415">
        <w:rPr>
          <w:b/>
        </w:rPr>
        <w:t>Validation Dashboard Cash 2</w:t>
      </w:r>
      <w:r w:rsidRPr="001C0415">
        <w:rPr>
          <w:b/>
          <w:vertAlign w:val="superscript"/>
        </w:rPr>
        <w:t>ème</w:t>
      </w:r>
      <w:r w:rsidRPr="001C0415">
        <w:rPr>
          <w:b/>
        </w:rPr>
        <w:t xml:space="preserve"> semestre (à intégrer dans HRP)</w:t>
      </w:r>
    </w:p>
    <w:p w14:paraId="1999C731" w14:textId="210118DC" w:rsidR="001C0415" w:rsidRDefault="007F52F1" w:rsidP="005D560C">
      <w:pPr>
        <w:jc w:val="both"/>
      </w:pPr>
      <w:r>
        <w:t>Les d</w:t>
      </w:r>
      <w:r w:rsidR="001C0415">
        <w:t xml:space="preserve">onnées </w:t>
      </w:r>
      <w:r>
        <w:t xml:space="preserve">du 4W </w:t>
      </w:r>
      <w:r w:rsidR="001C0415">
        <w:t>ont été reçues</w:t>
      </w:r>
      <w:r>
        <w:t xml:space="preserve"> des partenaires</w:t>
      </w:r>
      <w:r w:rsidR="001C0415">
        <w:t>, mais l</w:t>
      </w:r>
      <w:r>
        <w:t>’infographie</w:t>
      </w:r>
      <w:r w:rsidR="001C0415">
        <w:t xml:space="preserve"> n’a pas pu être produite</w:t>
      </w:r>
      <w:r>
        <w:t xml:space="preserve"> pour la </w:t>
      </w:r>
      <w:r w:rsidR="00C16C11">
        <w:t>réunion</w:t>
      </w:r>
      <w:r>
        <w:t xml:space="preserve">, elle </w:t>
      </w:r>
      <w:r w:rsidR="001C0415">
        <w:t>sera partagée</w:t>
      </w:r>
      <w:r>
        <w:t xml:space="preserve"> par email</w:t>
      </w:r>
      <w:r w:rsidR="00C16C11">
        <w:t xml:space="preserve"> par OCHA</w:t>
      </w:r>
      <w:r w:rsidR="001C0415">
        <w:t xml:space="preserve"> pour les inputs</w:t>
      </w:r>
      <w:r w:rsidR="00C16C11">
        <w:t xml:space="preserve"> et validation avant d’être </w:t>
      </w:r>
      <w:r w:rsidR="001C0415">
        <w:t>intégrée dans le HRP 2020.</w:t>
      </w:r>
    </w:p>
    <w:p w14:paraId="3B7B7406" w14:textId="3440A077" w:rsidR="001C0415" w:rsidRDefault="00D51802" w:rsidP="005D560C">
      <w:pPr>
        <w:spacing w:after="0"/>
        <w:jc w:val="both"/>
      </w:pPr>
      <w:r>
        <w:t xml:space="preserve">Le processus de planification humanitaire HPC 2020 est en cours, le </w:t>
      </w:r>
      <w:proofErr w:type="spellStart"/>
      <w:r>
        <w:t>d</w:t>
      </w:r>
      <w:r w:rsidR="001C0415">
        <w:t>raft</w:t>
      </w:r>
      <w:proofErr w:type="spellEnd"/>
      <w:r w:rsidR="001C0415">
        <w:t xml:space="preserve"> d</w:t>
      </w:r>
      <w:r>
        <w:t>u</w:t>
      </w:r>
      <w:r w:rsidR="001C0415">
        <w:t xml:space="preserve"> HNO a été </w:t>
      </w:r>
      <w:r>
        <w:t xml:space="preserve">finalisé </w:t>
      </w:r>
      <w:r w:rsidR="007F52F1">
        <w:t>et</w:t>
      </w:r>
      <w:r w:rsidR="001C0415">
        <w:t xml:space="preserve"> </w:t>
      </w:r>
      <w:r w:rsidR="00B85216">
        <w:t>le document final</w:t>
      </w:r>
      <w:r w:rsidR="007F52F1">
        <w:t xml:space="preserve"> sera disponible</w:t>
      </w:r>
      <w:r>
        <w:t xml:space="preserve"> </w:t>
      </w:r>
      <w:r w:rsidR="001E7726">
        <w:t>d’ici le 1</w:t>
      </w:r>
      <w:r w:rsidR="00F85FF3">
        <w:t>6</w:t>
      </w:r>
      <w:r w:rsidR="001E7726">
        <w:t>/12.</w:t>
      </w:r>
    </w:p>
    <w:p w14:paraId="0A1EE020" w14:textId="0DC36DBC" w:rsidR="001C0415" w:rsidRDefault="007F52F1" w:rsidP="005D560C">
      <w:pPr>
        <w:jc w:val="both"/>
      </w:pPr>
      <w:r>
        <w:t xml:space="preserve">Près de 150 projets soumis dans le Project module par les partenaires pour le Plan de </w:t>
      </w:r>
      <w:r w:rsidR="00206AE7">
        <w:t>réponse</w:t>
      </w:r>
      <w:r>
        <w:t xml:space="preserve"> humanitaire 2020</w:t>
      </w:r>
      <w:r w:rsidR="006946AE">
        <w:t>.</w:t>
      </w:r>
    </w:p>
    <w:p w14:paraId="5D88EC36" w14:textId="77777777" w:rsidR="001C0415" w:rsidRPr="001C0415" w:rsidRDefault="001C0415" w:rsidP="001C0415">
      <w:pPr>
        <w:pStyle w:val="ListParagraph"/>
        <w:numPr>
          <w:ilvl w:val="0"/>
          <w:numId w:val="1"/>
        </w:numPr>
        <w:rPr>
          <w:b/>
        </w:rPr>
      </w:pPr>
      <w:r w:rsidRPr="001C0415">
        <w:rPr>
          <w:b/>
        </w:rPr>
        <w:t>Protection et transfert monétaire</w:t>
      </w:r>
      <w:r w:rsidR="00E93F09">
        <w:rPr>
          <w:b/>
        </w:rPr>
        <w:t> : protection des données des bénéficiaires</w:t>
      </w:r>
    </w:p>
    <w:p w14:paraId="68DAC37C" w14:textId="77777777" w:rsidR="001C0415" w:rsidRDefault="00A410E1" w:rsidP="004C2D5B">
      <w:pPr>
        <w:spacing w:after="0"/>
        <w:jc w:val="both"/>
      </w:pPr>
      <w:r>
        <w:t>Le HCR enregistre les réfugiés – leur attribue un identifiant personnel, et enregistre les informations sur la personne. Toutes les informations sont compilées sur une plateforme accessible à un nombre limité de personnes.</w:t>
      </w:r>
    </w:p>
    <w:p w14:paraId="2B8A4D28" w14:textId="46B9B0DD" w:rsidR="00A410E1" w:rsidRDefault="00A410E1" w:rsidP="004C2D5B">
      <w:pPr>
        <w:spacing w:after="0"/>
        <w:jc w:val="both"/>
      </w:pPr>
      <w:r>
        <w:t xml:space="preserve">Le HCR travaille avec le PAM pour les assistances </w:t>
      </w:r>
      <w:r w:rsidR="005765BA">
        <w:t xml:space="preserve">en vivres </w:t>
      </w:r>
      <w:r>
        <w:t>– le PAM utilise les informations collectées lors de l’enregistrement, des mesures pour protéger les données</w:t>
      </w:r>
      <w:r w:rsidR="005765BA" w:rsidRPr="005765BA">
        <w:t xml:space="preserve"> </w:t>
      </w:r>
      <w:r w:rsidR="005765BA">
        <w:t>sont mises en place</w:t>
      </w:r>
      <w:r>
        <w:t>.</w:t>
      </w:r>
    </w:p>
    <w:p w14:paraId="73BEBA97" w14:textId="301B217D" w:rsidR="00A410E1" w:rsidRDefault="00A410E1" w:rsidP="00A410E1">
      <w:pPr>
        <w:jc w:val="both"/>
      </w:pPr>
      <w:r>
        <w:t xml:space="preserve">Plus d’informations seront apportées lors de la prochaine réunion du </w:t>
      </w:r>
      <w:r w:rsidR="005765BA">
        <w:t>MS</w:t>
      </w:r>
      <w:r>
        <w:t>CWG</w:t>
      </w:r>
      <w:r w:rsidR="00E93F09">
        <w:t>.</w:t>
      </w:r>
    </w:p>
    <w:p w14:paraId="7709227F" w14:textId="1BCC7D26" w:rsidR="001C0415" w:rsidRPr="00A410E1" w:rsidRDefault="005765BA" w:rsidP="001C04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Partage </w:t>
      </w:r>
      <w:r w:rsidR="00A410E1">
        <w:rPr>
          <w:b/>
        </w:rPr>
        <w:t>d’expérience sur le m</w:t>
      </w:r>
      <w:r w:rsidR="001C0415" w:rsidRPr="00A410E1">
        <w:rPr>
          <w:b/>
        </w:rPr>
        <w:t>obile money</w:t>
      </w:r>
      <w:r w:rsidR="0058435C">
        <w:rPr>
          <w:b/>
        </w:rPr>
        <w:t xml:space="preserve"> et l’</w:t>
      </w:r>
      <w:r w:rsidR="00AF7698">
        <w:rPr>
          <w:b/>
        </w:rPr>
        <w:t>e-voucher</w:t>
      </w:r>
    </w:p>
    <w:p w14:paraId="347D54DA" w14:textId="77777777" w:rsidR="004C2D5B" w:rsidRDefault="00AF7698" w:rsidP="004C2D5B">
      <w:pPr>
        <w:spacing w:after="0"/>
        <w:jc w:val="both"/>
      </w:pPr>
      <w:r w:rsidRPr="009E5C90">
        <w:rPr>
          <w:u w:val="single"/>
        </w:rPr>
        <w:t>UNHCR :</w:t>
      </w:r>
      <w:r>
        <w:t xml:space="preserve"> </w:t>
      </w:r>
      <w:r w:rsidR="004C2D5B">
        <w:t xml:space="preserve">Pour le transfert monétaire, le HCR travaille avec </w:t>
      </w:r>
      <w:r w:rsidR="004C2D5B" w:rsidRPr="00AF7698">
        <w:rPr>
          <w:b/>
        </w:rPr>
        <w:t>Airtel Money</w:t>
      </w:r>
      <w:r w:rsidR="004C2D5B">
        <w:t>.</w:t>
      </w:r>
    </w:p>
    <w:p w14:paraId="472D0CA1" w14:textId="77777777" w:rsidR="004C2D5B" w:rsidRDefault="004C2D5B" w:rsidP="004C2D5B">
      <w:pPr>
        <w:spacing w:after="0"/>
        <w:jc w:val="both"/>
      </w:pPr>
      <w:r>
        <w:t xml:space="preserve">Difficultés rencontrées : </w:t>
      </w:r>
    </w:p>
    <w:p w14:paraId="264A69BC" w14:textId="77777777" w:rsidR="004C2D5B" w:rsidRDefault="004C2D5B" w:rsidP="004C2D5B">
      <w:pPr>
        <w:pStyle w:val="ListParagraph"/>
        <w:numPr>
          <w:ilvl w:val="0"/>
          <w:numId w:val="3"/>
        </w:numPr>
        <w:jc w:val="both"/>
      </w:pPr>
      <w:r>
        <w:t>Beaucoup de bénéficiaires ne maitrisent pas le processus et oublient le mot de passe qui permet de débloquer l’argent ;</w:t>
      </w:r>
    </w:p>
    <w:p w14:paraId="0FC724B2" w14:textId="77777777" w:rsidR="004C2D5B" w:rsidRDefault="004C2D5B" w:rsidP="004C2D5B">
      <w:pPr>
        <w:pStyle w:val="ListParagraph"/>
        <w:numPr>
          <w:ilvl w:val="0"/>
          <w:numId w:val="3"/>
        </w:numPr>
        <w:jc w:val="both"/>
      </w:pPr>
      <w:r>
        <w:t>Barrière de la langue ;</w:t>
      </w:r>
    </w:p>
    <w:p w14:paraId="65D77A82" w14:textId="77777777" w:rsidR="004C2D5B" w:rsidRDefault="004C2D5B" w:rsidP="004C2D5B">
      <w:pPr>
        <w:pStyle w:val="ListParagraph"/>
        <w:numPr>
          <w:ilvl w:val="0"/>
          <w:numId w:val="3"/>
        </w:numPr>
        <w:jc w:val="both"/>
      </w:pPr>
      <w:r>
        <w:t>Manque de liquidité du fournisseur ;</w:t>
      </w:r>
    </w:p>
    <w:p w14:paraId="1683AFC3" w14:textId="77777777" w:rsidR="004C2D5B" w:rsidRDefault="004C2D5B" w:rsidP="004C2D5B">
      <w:pPr>
        <w:pStyle w:val="ListParagraph"/>
        <w:numPr>
          <w:ilvl w:val="0"/>
          <w:numId w:val="3"/>
        </w:numPr>
        <w:jc w:val="both"/>
      </w:pPr>
      <w:r>
        <w:t>Commission de 3% par Airtel, il y a des distributeurs informels qui peuvent prendre jusqu</w:t>
      </w:r>
      <w:r w:rsidR="005E7D2A">
        <w:t>’à 9% de commission ;</w:t>
      </w:r>
    </w:p>
    <w:p w14:paraId="54FA79D8" w14:textId="77777777" w:rsidR="005E7D2A" w:rsidRDefault="005E7D2A" w:rsidP="004C2D5B">
      <w:pPr>
        <w:pStyle w:val="ListParagraph"/>
        <w:numPr>
          <w:ilvl w:val="0"/>
          <w:numId w:val="3"/>
        </w:numPr>
        <w:jc w:val="both"/>
      </w:pPr>
      <w:r>
        <w:t>Lourdeur administrative a</w:t>
      </w:r>
      <w:r w:rsidR="00777E45">
        <w:t>vec Airtel (plusieurs semaines) ;</w:t>
      </w:r>
    </w:p>
    <w:p w14:paraId="2821418A" w14:textId="77777777" w:rsidR="00777E45" w:rsidRDefault="00777E45" w:rsidP="004C2D5B">
      <w:pPr>
        <w:pStyle w:val="ListParagraph"/>
        <w:numPr>
          <w:ilvl w:val="0"/>
          <w:numId w:val="3"/>
        </w:numPr>
        <w:jc w:val="both"/>
      </w:pPr>
      <w:r>
        <w:t>Pas de point focal technique ;</w:t>
      </w:r>
    </w:p>
    <w:p w14:paraId="1EDC1E75" w14:textId="77777777" w:rsidR="00777E45" w:rsidRDefault="00777E45" w:rsidP="004C2D5B">
      <w:pPr>
        <w:pStyle w:val="ListParagraph"/>
        <w:numPr>
          <w:ilvl w:val="0"/>
          <w:numId w:val="3"/>
        </w:numPr>
        <w:jc w:val="both"/>
      </w:pPr>
      <w:r>
        <w:t>Identification des numéros qui peut prendre du temps chez le prestataire.</w:t>
      </w:r>
    </w:p>
    <w:p w14:paraId="7D892160" w14:textId="70F68943" w:rsidR="00777E45" w:rsidRDefault="00777E45" w:rsidP="00777E45">
      <w:pPr>
        <w:pStyle w:val="ListParagraph"/>
        <w:numPr>
          <w:ilvl w:val="0"/>
          <w:numId w:val="4"/>
        </w:numPr>
        <w:jc w:val="both"/>
      </w:pPr>
      <w:r>
        <w:t xml:space="preserve">Airtel a assuré que des efforts sont faits pour faciliter les </w:t>
      </w:r>
      <w:r w:rsidR="005765BA">
        <w:t>processus</w:t>
      </w:r>
      <w:r>
        <w:t xml:space="preserve"> et accélérer </w:t>
      </w:r>
      <w:r w:rsidR="00473D97">
        <w:t>la réponse</w:t>
      </w:r>
      <w:r>
        <w:t>.</w:t>
      </w:r>
    </w:p>
    <w:p w14:paraId="10D26CE5" w14:textId="2F2EE553" w:rsidR="001C0415" w:rsidRDefault="00AF7698" w:rsidP="00E44ABA">
      <w:pPr>
        <w:spacing w:after="0"/>
        <w:jc w:val="both"/>
      </w:pPr>
      <w:r w:rsidRPr="009E5C90">
        <w:rPr>
          <w:u w:val="single"/>
        </w:rPr>
        <w:t>IRC :</w:t>
      </w:r>
      <w:r>
        <w:t xml:space="preserve"> </w:t>
      </w:r>
      <w:r w:rsidRPr="00AF7698">
        <w:rPr>
          <w:b/>
        </w:rPr>
        <w:t xml:space="preserve">e-vouchers </w:t>
      </w:r>
      <w:r>
        <w:t>(Mastercard)</w:t>
      </w:r>
      <w:r w:rsidR="00C5127E">
        <w:t>, et le Cash</w:t>
      </w:r>
      <w:r w:rsidR="004636BD">
        <w:t xml:space="preserve"> direct</w:t>
      </w:r>
      <w:r>
        <w:t>.</w:t>
      </w:r>
    </w:p>
    <w:p w14:paraId="73A83AF8" w14:textId="581FA7DC" w:rsidR="00AF7698" w:rsidRDefault="00AF7698" w:rsidP="00E44ABA">
      <w:pPr>
        <w:spacing w:after="0"/>
        <w:jc w:val="both"/>
      </w:pPr>
      <w:r>
        <w:t>Transfert d’argent à travers des cartes électroniques fournies par Mastercard et distribuées aux bénéficiaires</w:t>
      </w:r>
      <w:r w:rsidR="001269F6">
        <w:t xml:space="preserve"> qui sont formés à leur utilisation</w:t>
      </w:r>
      <w:r>
        <w:t xml:space="preserve">. Les cartes contiennent l’identité du bénéficiaire, ainsi que son suppléant en cas d’absence. </w:t>
      </w:r>
      <w:r w:rsidR="00B40224">
        <w:t>Mis en place à Diffa et Agadez</w:t>
      </w:r>
      <w:r w:rsidR="000B65C8">
        <w:t xml:space="preserve">, à Tillaberi avec </w:t>
      </w:r>
      <w:r w:rsidR="00B40224">
        <w:t>des programmes de TM à travers des foires ou des coupons papiers.</w:t>
      </w:r>
    </w:p>
    <w:p w14:paraId="70F0A9BC" w14:textId="0ED5842F" w:rsidR="000B65C8" w:rsidRDefault="00B40224" w:rsidP="00410D22">
      <w:pPr>
        <w:pStyle w:val="ListParagraph"/>
        <w:numPr>
          <w:ilvl w:val="0"/>
          <w:numId w:val="3"/>
        </w:numPr>
        <w:spacing w:after="0"/>
        <w:jc w:val="both"/>
      </w:pPr>
      <w:r>
        <w:t>La carte est alimentée en argent selon une fréquence déterminée et expliquée aux bénéficiaires</w:t>
      </w:r>
      <w:r w:rsidR="000B65C8">
        <w:t xml:space="preserve"> qui l’utilise</w:t>
      </w:r>
      <w:r>
        <w:t xml:space="preserve">. </w:t>
      </w:r>
    </w:p>
    <w:p w14:paraId="04C34068" w14:textId="242AB5F5" w:rsidR="000B65C8" w:rsidRDefault="000B65C8" w:rsidP="00410D22">
      <w:pPr>
        <w:pStyle w:val="ListParagraph"/>
        <w:numPr>
          <w:ilvl w:val="0"/>
          <w:numId w:val="3"/>
        </w:numPr>
        <w:spacing w:after="0"/>
        <w:jc w:val="both"/>
      </w:pPr>
      <w:r>
        <w:t>Un p</w:t>
      </w:r>
      <w:r w:rsidR="00B40224">
        <w:t xml:space="preserve">artenariat </w:t>
      </w:r>
      <w:r>
        <w:t xml:space="preserve">est </w:t>
      </w:r>
      <w:r w:rsidR="00B40224">
        <w:t>mis en place avec des commerçants ambulants, formés par IRC à l’utilisation des terminaux de lecture de cartes.</w:t>
      </w:r>
      <w:r w:rsidR="001742AA">
        <w:t xml:space="preserve"> </w:t>
      </w:r>
    </w:p>
    <w:p w14:paraId="7A669A2C" w14:textId="3E976569" w:rsidR="000B65C8" w:rsidRDefault="001742AA" w:rsidP="00410D22">
      <w:pPr>
        <w:pStyle w:val="ListParagraph"/>
        <w:numPr>
          <w:ilvl w:val="0"/>
          <w:numId w:val="3"/>
        </w:numPr>
        <w:spacing w:after="0"/>
        <w:jc w:val="both"/>
      </w:pPr>
      <w:r>
        <w:t>25 items</w:t>
      </w:r>
      <w:r w:rsidR="000B65C8">
        <w:t xml:space="preserve"> sont</w:t>
      </w:r>
      <w:r>
        <w:t xml:space="preserve"> proposés dans le panier du commerçant, et les bénéficiaires peuvent choisir </w:t>
      </w:r>
      <w:r w:rsidR="000B65C8">
        <w:t xml:space="preserve">les </w:t>
      </w:r>
      <w:r>
        <w:t xml:space="preserve">types et quantités qui leur conviennent. </w:t>
      </w:r>
    </w:p>
    <w:p w14:paraId="264EE9D2" w14:textId="07C41E50" w:rsidR="006E1B28" w:rsidRDefault="000B65C8" w:rsidP="00410D22">
      <w:pPr>
        <w:pStyle w:val="ListParagraph"/>
        <w:numPr>
          <w:ilvl w:val="0"/>
          <w:numId w:val="3"/>
        </w:numPr>
        <w:spacing w:after="0"/>
        <w:jc w:val="both"/>
      </w:pPr>
      <w:r>
        <w:lastRenderedPageBreak/>
        <w:t>D</w:t>
      </w:r>
      <w:r w:rsidR="009D41A3">
        <w:t xml:space="preserve">es volontaires communautaires </w:t>
      </w:r>
      <w:r>
        <w:t>sont formés</w:t>
      </w:r>
      <w:r w:rsidR="009D41A3">
        <w:t xml:space="preserve"> pour assister les </w:t>
      </w:r>
      <w:r>
        <w:t>bénéficiaires</w:t>
      </w:r>
      <w:r w:rsidR="009D41A3">
        <w:t xml:space="preserve"> </w:t>
      </w:r>
      <w:r w:rsidR="00CD2B5F">
        <w:t>à</w:t>
      </w:r>
      <w:r w:rsidR="009D41A3">
        <w:t xml:space="preserve"> l’utilisation de leurs cartes sur les sites d’achat des articles </w:t>
      </w:r>
      <w:r>
        <w:t>auprès</w:t>
      </w:r>
      <w:r w:rsidR="009D41A3">
        <w:t xml:space="preserve"> </w:t>
      </w:r>
      <w:r w:rsidR="00CD2B5F">
        <w:t>des commerçants</w:t>
      </w:r>
      <w:r w:rsidR="009D41A3">
        <w:t>,</w:t>
      </w:r>
    </w:p>
    <w:p w14:paraId="007FD731" w14:textId="14AE0ADD" w:rsidR="006E1B28" w:rsidRDefault="00CD2B5F" w:rsidP="00410D22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des comités de plaintes et feedback dont les membres sont identifiés par les </w:t>
      </w:r>
      <w:r w:rsidR="006E1B28">
        <w:t>communautés</w:t>
      </w:r>
      <w:r>
        <w:t xml:space="preserve"> cibles</w:t>
      </w:r>
      <w:r w:rsidR="00753BFE">
        <w:t xml:space="preserve"> sont mis</w:t>
      </w:r>
      <w:r w:rsidR="006E1B28">
        <w:t xml:space="preserve"> en place par IRC pour faciliter le processus de distribution sur les sites, </w:t>
      </w:r>
    </w:p>
    <w:p w14:paraId="033A5EF4" w14:textId="19878022" w:rsidR="009D41A3" w:rsidRDefault="006E1B28" w:rsidP="00410D22">
      <w:pPr>
        <w:pStyle w:val="ListParagraph"/>
        <w:numPr>
          <w:ilvl w:val="0"/>
          <w:numId w:val="3"/>
        </w:numPr>
        <w:spacing w:after="0"/>
        <w:jc w:val="both"/>
      </w:pPr>
      <w:r>
        <w:t>C</w:t>
      </w:r>
      <w:r w:rsidR="00CD2B5F">
        <w:t xml:space="preserve">es </w:t>
      </w:r>
      <w:r w:rsidR="00753BFE">
        <w:t xml:space="preserve">comités </w:t>
      </w:r>
      <w:r w:rsidR="00CD2B5F">
        <w:t xml:space="preserve">sont </w:t>
      </w:r>
      <w:r>
        <w:t>formés</w:t>
      </w:r>
      <w:r w:rsidR="00CD2B5F">
        <w:t xml:space="preserve"> au</w:t>
      </w:r>
      <w:r>
        <w:t>x</w:t>
      </w:r>
      <w:r w:rsidR="00CD2B5F">
        <w:t xml:space="preserve"> </w:t>
      </w:r>
      <w:r w:rsidR="00410D22">
        <w:t>mécanismes</w:t>
      </w:r>
      <w:r w:rsidR="00CD2B5F">
        <w:t xml:space="preserve"> de plainte et feedback pour toute question d’entrave, de difficulté que rencontre un </w:t>
      </w:r>
      <w:r w:rsidR="00E96EC8">
        <w:t>bénéficiaire</w:t>
      </w:r>
      <w:r w:rsidR="00CD2B5F">
        <w:t xml:space="preserve"> dans l’utilisation de sa carte d’achat, toute autre plainte liée </w:t>
      </w:r>
      <w:r w:rsidR="00EE307C">
        <w:t>à</w:t>
      </w:r>
      <w:r w:rsidR="00CD2B5F">
        <w:t xml:space="preserve"> la mise en œuvre des </w:t>
      </w:r>
      <w:r w:rsidR="00E96EC8">
        <w:t>activités</w:t>
      </w:r>
      <w:r w:rsidR="00CD2B5F">
        <w:t xml:space="preserve">, ils </w:t>
      </w:r>
      <w:r w:rsidR="00EE307C">
        <w:t xml:space="preserve">sont </w:t>
      </w:r>
      <w:r w:rsidR="00CD2B5F">
        <w:t xml:space="preserve">également </w:t>
      </w:r>
      <w:r>
        <w:t>équipés</w:t>
      </w:r>
      <w:r w:rsidR="00CD2B5F">
        <w:t xml:space="preserve"> de téléphone </w:t>
      </w:r>
      <w:r w:rsidR="00E96EC8">
        <w:t xml:space="preserve">avec un numéro </w:t>
      </w:r>
      <w:r w:rsidR="00CD2B5F">
        <w:t xml:space="preserve">flotte pour faciliter la </w:t>
      </w:r>
      <w:r>
        <w:t>remontée</w:t>
      </w:r>
      <w:r w:rsidR="00CD2B5F">
        <w:t xml:space="preserve"> des information</w:t>
      </w:r>
      <w:r>
        <w:t>s</w:t>
      </w:r>
      <w:r w:rsidR="00CD2B5F">
        <w:t xml:space="preserve"> au niveau de</w:t>
      </w:r>
      <w:r w:rsidR="00E96EC8">
        <w:t xml:space="preserve"> l’ONG </w:t>
      </w:r>
      <w:r w:rsidR="00CD2B5F">
        <w:t xml:space="preserve"> IRC.</w:t>
      </w:r>
      <w:r w:rsidR="001A723D">
        <w:t xml:space="preserve"> </w:t>
      </w:r>
    </w:p>
    <w:p w14:paraId="2C63514A" w14:textId="77777777" w:rsidR="006E1B28" w:rsidRDefault="000361E3" w:rsidP="00BB6295">
      <w:pPr>
        <w:spacing w:after="0"/>
        <w:jc w:val="both"/>
      </w:pPr>
      <w:r>
        <w:t xml:space="preserve">Nouveauté : </w:t>
      </w:r>
    </w:p>
    <w:p w14:paraId="365B2299" w14:textId="2611C2DD" w:rsidR="000361E3" w:rsidRDefault="000361E3" w:rsidP="00410D22">
      <w:pPr>
        <w:pStyle w:val="ListParagraph"/>
        <w:numPr>
          <w:ilvl w:val="0"/>
          <w:numId w:val="3"/>
        </w:numPr>
        <w:spacing w:after="0"/>
        <w:jc w:val="both"/>
      </w:pPr>
      <w:r>
        <w:t>ajout des photos des bénéficiaires sur la carte pour faciliter l’identification.</w:t>
      </w:r>
    </w:p>
    <w:p w14:paraId="5FA613A9" w14:textId="77777777" w:rsidR="00E96EC8" w:rsidRDefault="007C3CC1" w:rsidP="00410D22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Analyse </w:t>
      </w:r>
      <w:r w:rsidR="004D1A42">
        <w:t xml:space="preserve">mensuelle </w:t>
      </w:r>
      <w:r>
        <w:t xml:space="preserve">des prix du marché réalisée par les équipes techniques IRC. </w:t>
      </w:r>
    </w:p>
    <w:p w14:paraId="1662CB0B" w14:textId="23C5359A" w:rsidR="00A46B9B" w:rsidRDefault="007C3CC1" w:rsidP="00410D22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Un contrat cadre est signé en amont avec les commerçants, les prix sont définis et </w:t>
      </w:r>
      <w:r w:rsidR="004D1A42">
        <w:t>fixés</w:t>
      </w:r>
      <w:r>
        <w:t xml:space="preserve"> durant tout le projet.</w:t>
      </w:r>
      <w:r w:rsidR="00A46B9B">
        <w:t xml:space="preserve"> Peut travailler en hors ligne.</w:t>
      </w:r>
    </w:p>
    <w:p w14:paraId="7EE7E002" w14:textId="13C011DC" w:rsidR="001F0CE7" w:rsidRDefault="001F0CE7" w:rsidP="00520A48">
      <w:pPr>
        <w:spacing w:after="0"/>
        <w:jc w:val="both"/>
      </w:pPr>
      <w:r>
        <w:t xml:space="preserve">Partenaires de </w:t>
      </w:r>
      <w:r w:rsidR="007E2F7E">
        <w:t>transfert</w:t>
      </w:r>
      <w:r>
        <w:t xml:space="preserve"> </w:t>
      </w:r>
      <w:r w:rsidR="00F17446">
        <w:t>cash</w:t>
      </w:r>
      <w:r>
        <w:t> </w:t>
      </w:r>
      <w:r w:rsidRPr="00410D22">
        <w:rPr>
          <w:b/>
        </w:rPr>
        <w:t>: les sociétés d’</w:t>
      </w:r>
      <w:r w:rsidRPr="009D41A3">
        <w:rPr>
          <w:b/>
        </w:rPr>
        <w:t>intermédiation</w:t>
      </w:r>
      <w:r w:rsidRPr="00410D22">
        <w:rPr>
          <w:b/>
        </w:rPr>
        <w:t xml:space="preserve"> </w:t>
      </w:r>
      <w:r w:rsidR="00410D22" w:rsidRPr="00410D22">
        <w:rPr>
          <w:b/>
        </w:rPr>
        <w:t>financière</w:t>
      </w:r>
      <w:r>
        <w:rPr>
          <w:b/>
        </w:rPr>
        <w:t xml:space="preserve"> </w:t>
      </w:r>
      <w:r w:rsidRPr="00410D22">
        <w:t>dont,</w:t>
      </w:r>
      <w:r>
        <w:rPr>
          <w:b/>
        </w:rPr>
        <w:t xml:space="preserve"> </w:t>
      </w:r>
      <w:r w:rsidR="007C4A9C">
        <w:t>NITA, Al IZZA</w:t>
      </w:r>
      <w:bookmarkStart w:id="0" w:name="_GoBack"/>
      <w:bookmarkEnd w:id="0"/>
      <w:r>
        <w:t>, ASUSU</w:t>
      </w:r>
    </w:p>
    <w:p w14:paraId="67142AD4" w14:textId="4ECBE050" w:rsidR="00520A48" w:rsidRDefault="00520A48" w:rsidP="006E1B28">
      <w:pPr>
        <w:jc w:val="both"/>
      </w:pPr>
      <w:r>
        <w:t>Difficultés rencontrées : lourdeur administrative pour le paiement des commerçants, ce qui fait que les commerçants ne voulaient p</w:t>
      </w:r>
      <w:r w:rsidR="004D1A42">
        <w:t>lus</w:t>
      </w:r>
      <w:r>
        <w:t xml:space="preserve"> continuer à travailler avec IRC. Des efforts ont été faits par IRC pour réduire le temps de traitement des paiements</w:t>
      </w:r>
      <w:r w:rsidR="00861E09">
        <w:t>.</w:t>
      </w:r>
    </w:p>
    <w:p w14:paraId="0BBBEBF3" w14:textId="77777777" w:rsidR="00AF7698" w:rsidRDefault="005F06FF" w:rsidP="00A7683A">
      <w:pPr>
        <w:spacing w:after="0"/>
        <w:jc w:val="both"/>
      </w:pPr>
      <w:r w:rsidRPr="00EB4FE4">
        <w:rPr>
          <w:u w:val="single"/>
        </w:rPr>
        <w:t>Mercy Corps :</w:t>
      </w:r>
      <w:r>
        <w:t xml:space="preserve"> </w:t>
      </w:r>
      <w:r w:rsidR="00A7683A">
        <w:t xml:space="preserve">mobile money – avec </w:t>
      </w:r>
      <w:r w:rsidR="00A7683A" w:rsidRPr="00A7683A">
        <w:rPr>
          <w:b/>
        </w:rPr>
        <w:t>Orange</w:t>
      </w:r>
      <w:r w:rsidR="00A7683A">
        <w:t xml:space="preserve"> à Agadez.</w:t>
      </w:r>
    </w:p>
    <w:p w14:paraId="43577017" w14:textId="77777777" w:rsidR="00A7683A" w:rsidRDefault="00A7683A" w:rsidP="00A7683A">
      <w:pPr>
        <w:jc w:val="both"/>
      </w:pPr>
      <w:r>
        <w:t>Même processus que le HCR, seul problème = couverture réseau qui ne marchait pas pendant la distribution</w:t>
      </w:r>
      <w:r w:rsidR="00EB4FE4">
        <w:t xml:space="preserve"> (en 2012)</w:t>
      </w:r>
      <w:r>
        <w:t xml:space="preserve"> – l’activité s’est transformée en </w:t>
      </w:r>
      <w:r w:rsidR="00EB4FE4">
        <w:t xml:space="preserve">distributions de </w:t>
      </w:r>
      <w:r>
        <w:t>cash direct.</w:t>
      </w:r>
    </w:p>
    <w:p w14:paraId="0C73FFA5" w14:textId="77777777" w:rsidR="003B6985" w:rsidRDefault="00D52309" w:rsidP="00A7683A">
      <w:pPr>
        <w:jc w:val="both"/>
      </w:pPr>
      <w:r>
        <w:t xml:space="preserve">Autre forme de cash </w:t>
      </w:r>
      <w:proofErr w:type="spellStart"/>
      <w:r>
        <w:t>transfer</w:t>
      </w:r>
      <w:proofErr w:type="spellEnd"/>
      <w:r>
        <w:t> : ciblage des femmes, à qui on donne un certain montant de cash pour acheter des animaux et faire de l’embouche – l’argent dégagé permet de financer l’achat d’un animal pour une autre femme etc. Cela permet d’animer le marché et de redynamiser l’économie locale.</w:t>
      </w:r>
    </w:p>
    <w:p w14:paraId="592315E3" w14:textId="77777777" w:rsidR="009152C1" w:rsidRDefault="005A3303" w:rsidP="009152C1">
      <w:pPr>
        <w:spacing w:after="0"/>
        <w:jc w:val="both"/>
      </w:pPr>
      <w:r>
        <w:t xml:space="preserve">Comment choisir l’opérateur le plus approprié ? </w:t>
      </w:r>
    </w:p>
    <w:p w14:paraId="320B811A" w14:textId="4C559C32" w:rsidR="009152C1" w:rsidRDefault="009152C1" w:rsidP="009152C1">
      <w:pPr>
        <w:pStyle w:val="ListParagraph"/>
        <w:numPr>
          <w:ilvl w:val="0"/>
          <w:numId w:val="5"/>
        </w:numPr>
        <w:jc w:val="both"/>
      </w:pPr>
      <w:r>
        <w:t>Couverture réseau de l’opérateur dans la zone ciblée</w:t>
      </w:r>
      <w:r w:rsidR="00852CDD">
        <w:t>.</w:t>
      </w:r>
      <w:r>
        <w:t xml:space="preserve"> </w:t>
      </w:r>
      <w:r w:rsidR="005A3303">
        <w:t xml:space="preserve">Il existe une cartographie de la couverture réseau qui a été </w:t>
      </w:r>
      <w:r>
        <w:t xml:space="preserve">réalisée par les membres du </w:t>
      </w:r>
      <w:r w:rsidR="006E1B28">
        <w:t>MS</w:t>
      </w:r>
      <w:r>
        <w:t>CWG ;</w:t>
      </w:r>
    </w:p>
    <w:p w14:paraId="7E64A1E7" w14:textId="77777777" w:rsidR="005A3303" w:rsidRDefault="009152C1" w:rsidP="009152C1">
      <w:pPr>
        <w:pStyle w:val="ListParagraph"/>
        <w:numPr>
          <w:ilvl w:val="0"/>
          <w:numId w:val="5"/>
        </w:numPr>
        <w:jc w:val="both"/>
      </w:pPr>
      <w:r>
        <w:t>Faut qu’il y ait des espaces pour retirer l’argent ;</w:t>
      </w:r>
    </w:p>
    <w:p w14:paraId="75A4047D" w14:textId="77777777" w:rsidR="00AF7698" w:rsidRDefault="009152C1" w:rsidP="001C0415">
      <w:pPr>
        <w:pStyle w:val="ListParagraph"/>
        <w:numPr>
          <w:ilvl w:val="0"/>
          <w:numId w:val="5"/>
        </w:numPr>
        <w:jc w:val="both"/>
      </w:pPr>
      <w:r>
        <w:t>Frais de l’opérateur</w:t>
      </w:r>
      <w:r w:rsidR="00E85A69">
        <w:t>.</w:t>
      </w:r>
    </w:p>
    <w:p w14:paraId="304D2D11" w14:textId="77777777" w:rsidR="005D4515" w:rsidRDefault="005D4515" w:rsidP="005D4515">
      <w:pPr>
        <w:pStyle w:val="ListParagraph"/>
        <w:jc w:val="both"/>
      </w:pPr>
    </w:p>
    <w:p w14:paraId="1BC6B02E" w14:textId="77777777" w:rsidR="005D4515" w:rsidRPr="009E5C90" w:rsidRDefault="005D4515" w:rsidP="005D4515">
      <w:pPr>
        <w:pStyle w:val="ListParagraph"/>
        <w:numPr>
          <w:ilvl w:val="0"/>
          <w:numId w:val="4"/>
        </w:numPr>
        <w:spacing w:after="0"/>
        <w:jc w:val="both"/>
        <w:rPr>
          <w:i/>
        </w:rPr>
      </w:pPr>
      <w:r w:rsidRPr="009E5C90">
        <w:rPr>
          <w:i/>
        </w:rPr>
        <w:t>Critères qui déterminent la modalité cash ou voucher ?</w:t>
      </w:r>
    </w:p>
    <w:p w14:paraId="3061A7BC" w14:textId="77777777" w:rsidR="005D4515" w:rsidRPr="009E5C90" w:rsidRDefault="005D4515" w:rsidP="005D4515">
      <w:pPr>
        <w:spacing w:after="0"/>
        <w:jc w:val="both"/>
        <w:rPr>
          <w:i/>
        </w:rPr>
      </w:pPr>
      <w:r w:rsidRPr="009E5C90">
        <w:rPr>
          <w:i/>
        </w:rPr>
        <w:t xml:space="preserve">Dépend de l’objectif visé : </w:t>
      </w:r>
    </w:p>
    <w:p w14:paraId="2D6C94AA" w14:textId="2EC607A0" w:rsidR="005D4515" w:rsidRDefault="005D4515" w:rsidP="005D4515">
      <w:pPr>
        <w:pStyle w:val="ListParagraph"/>
        <w:numPr>
          <w:ilvl w:val="0"/>
          <w:numId w:val="3"/>
        </w:numPr>
        <w:jc w:val="both"/>
        <w:rPr>
          <w:i/>
        </w:rPr>
      </w:pPr>
      <w:r w:rsidRPr="009E5C90">
        <w:rPr>
          <w:i/>
        </w:rPr>
        <w:t xml:space="preserve">Si c’est une assistance </w:t>
      </w:r>
      <w:proofErr w:type="spellStart"/>
      <w:r w:rsidRPr="009E5C90">
        <w:rPr>
          <w:i/>
        </w:rPr>
        <w:t>multipurpose</w:t>
      </w:r>
      <w:proofErr w:type="spellEnd"/>
      <w:r w:rsidRPr="009E5C90">
        <w:rPr>
          <w:i/>
        </w:rPr>
        <w:t xml:space="preserve"> = le cash, si c’est une intervention qui cible la couverture des besoins sur 1 secteur = le voucher</w:t>
      </w:r>
      <w:r>
        <w:rPr>
          <w:i/>
        </w:rPr>
        <w:t> ;</w:t>
      </w:r>
    </w:p>
    <w:p w14:paraId="39900E88" w14:textId="77777777" w:rsidR="00E85A69" w:rsidRDefault="005D4515" w:rsidP="005D4515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>Si pas de marché, ou marché pas fonctionnel ou pas alimenté = voucher – le choix de la modalité dépend de l’étude du marché, mais souvent pas assez fait par les acteurs humanitaires.</w:t>
      </w:r>
    </w:p>
    <w:p w14:paraId="668A49E6" w14:textId="77777777" w:rsidR="005D4515" w:rsidRPr="005D4515" w:rsidRDefault="005D4515" w:rsidP="005D4515">
      <w:pPr>
        <w:pStyle w:val="ListParagraph"/>
        <w:jc w:val="both"/>
        <w:rPr>
          <w:i/>
        </w:rPr>
      </w:pPr>
    </w:p>
    <w:p w14:paraId="6241FC3B" w14:textId="77777777" w:rsidR="001C0415" w:rsidRPr="008E2013" w:rsidRDefault="001C0415" w:rsidP="001C0415">
      <w:pPr>
        <w:pStyle w:val="ListParagraph"/>
        <w:numPr>
          <w:ilvl w:val="0"/>
          <w:numId w:val="1"/>
        </w:numPr>
        <w:rPr>
          <w:b/>
        </w:rPr>
      </w:pPr>
      <w:r w:rsidRPr="008E2013">
        <w:rPr>
          <w:b/>
        </w:rPr>
        <w:t>Etude de faisabilité du TM à Tillabéri (REACH)</w:t>
      </w:r>
    </w:p>
    <w:p w14:paraId="1876510E" w14:textId="77777777" w:rsidR="001C0415" w:rsidRDefault="00E85A69" w:rsidP="001C0415">
      <w:r>
        <w:t>Présentation Antonin.</w:t>
      </w:r>
    </w:p>
    <w:p w14:paraId="0E1055F6" w14:textId="7AAD17B5" w:rsidR="00E85A69" w:rsidRDefault="00852CDD" w:rsidP="00852CDD">
      <w:pPr>
        <w:jc w:val="both"/>
      </w:pPr>
      <w:r>
        <w:t xml:space="preserve">Une étude </w:t>
      </w:r>
      <w:r w:rsidR="00110F89">
        <w:t>sur les TM a Tillaberi sera conduite en janvier 2020 par REA</w:t>
      </w:r>
      <w:r w:rsidR="00F32FD9">
        <w:t>CH avec l’appui du groupe MSCWG</w:t>
      </w:r>
      <w:r>
        <w:t xml:space="preserve">. La méthodologie sera </w:t>
      </w:r>
      <w:r w:rsidR="00110F89">
        <w:t>la même que celle utilisée pour l’étude de faisabilité conduite en 2019 dans la région de Diffa</w:t>
      </w:r>
      <w:r>
        <w:t xml:space="preserve">, </w:t>
      </w:r>
      <w:r w:rsidR="00110F89">
        <w:t>quelques a</w:t>
      </w:r>
      <w:r>
        <w:t>mélior</w:t>
      </w:r>
      <w:r w:rsidR="00110F89">
        <w:t>ations seront fait</w:t>
      </w:r>
      <w:r>
        <w:t>e pour avoir des résultats plus opérationnels et intéressants.</w:t>
      </w:r>
      <w:r w:rsidR="005C3C3F">
        <w:t xml:space="preserve"> Aller plus loin dans l’</w:t>
      </w:r>
      <w:r w:rsidR="001F4782">
        <w:t>analyse</w:t>
      </w:r>
      <w:r w:rsidR="00110F89">
        <w:t xml:space="preserve"> par la </w:t>
      </w:r>
      <w:r w:rsidR="001F4782">
        <w:t xml:space="preserve">mise en place d’une grille de </w:t>
      </w:r>
      <w:proofErr w:type="spellStart"/>
      <w:r w:rsidR="001F4782">
        <w:t>scoring</w:t>
      </w:r>
      <w:proofErr w:type="spellEnd"/>
      <w:r w:rsidR="001F4782">
        <w:t xml:space="preserve"> de la faisabilité </w:t>
      </w:r>
      <w:r w:rsidR="001F4782">
        <w:lastRenderedPageBreak/>
        <w:t xml:space="preserve">du cash, qui permettra de faire une cartographie des zones où il </w:t>
      </w:r>
      <w:r w:rsidR="00110F89">
        <w:t>serait</w:t>
      </w:r>
      <w:r w:rsidR="001F4782">
        <w:t xml:space="preserve"> possible de mettre en œuvre des programmes de TM.</w:t>
      </w:r>
    </w:p>
    <w:p w14:paraId="23BE89F9" w14:textId="1A1D8621" w:rsidR="00D834A9" w:rsidRDefault="00D834A9" w:rsidP="005C3C3F">
      <w:pPr>
        <w:spacing w:after="0"/>
        <w:jc w:val="both"/>
      </w:pPr>
      <w:r w:rsidRPr="00410D22">
        <w:rPr>
          <w:u w:val="single"/>
        </w:rPr>
        <w:t>Défis</w:t>
      </w:r>
      <w:r>
        <w:t> : couverture géographique, en raison des restrictions d’accès dans la région de Tillabéri</w:t>
      </w:r>
      <w:r w:rsidR="00110F89">
        <w:t>, il</w:t>
      </w:r>
      <w:r>
        <w:t xml:space="preserve"> semble compliqué de couvrir toute la zone.</w:t>
      </w:r>
      <w:r w:rsidR="005C3C3F">
        <w:t xml:space="preserve"> La collecte</w:t>
      </w:r>
      <w:r w:rsidR="00110F89">
        <w:t xml:space="preserve"> devant commencer en </w:t>
      </w:r>
      <w:r w:rsidR="00410D22">
        <w:t>décembre</w:t>
      </w:r>
      <w:r w:rsidR="00110F89">
        <w:t xml:space="preserve"> </w:t>
      </w:r>
      <w:r w:rsidR="005C3C3F">
        <w:t xml:space="preserve"> a été repoussée à janvier 2020.</w:t>
      </w:r>
    </w:p>
    <w:p w14:paraId="5FBFD37F" w14:textId="266CE131" w:rsidR="005C3C3F" w:rsidRDefault="00110F89" w:rsidP="00852CDD">
      <w:pPr>
        <w:jc w:val="both"/>
      </w:pPr>
      <w:r>
        <w:t xml:space="preserve">L’appui des </w:t>
      </w:r>
      <w:r w:rsidR="005C3C3F">
        <w:t>partenaires</w:t>
      </w:r>
      <w:r>
        <w:t xml:space="preserve"> intervenant d</w:t>
      </w:r>
      <w:r w:rsidR="005C3C3F">
        <w:t xml:space="preserve">ans la zone </w:t>
      </w:r>
      <w:r w:rsidR="00410D22">
        <w:t>ont</w:t>
      </w:r>
      <w:r>
        <w:t xml:space="preserve"> été </w:t>
      </w:r>
      <w:r w:rsidR="00410D22">
        <w:t>sollicités</w:t>
      </w:r>
      <w:r>
        <w:t xml:space="preserve"> afin d’ </w:t>
      </w:r>
      <w:r w:rsidR="00A76CAC">
        <w:t>appuyer cette évaluation (en terme d’appui logistique, revue de la méthodologie, formation des enquêteurs</w:t>
      </w:r>
      <w:r>
        <w:t>, et même collecte des données sur le terrain</w:t>
      </w:r>
      <w:r w:rsidR="00A76CAC">
        <w:t xml:space="preserve"> etc.). </w:t>
      </w:r>
    </w:p>
    <w:p w14:paraId="5D219842" w14:textId="3230B943" w:rsidR="00852CDD" w:rsidRDefault="002440CA" w:rsidP="00975654">
      <w:pPr>
        <w:jc w:val="both"/>
      </w:pPr>
      <w:r>
        <w:t xml:space="preserve">Zones : les départements où l’état d’urgence est en cours. </w:t>
      </w:r>
      <w:r w:rsidR="00975654">
        <w:t>La liste des marchés ciblés sera partagée en janvier quand il y aura un aperçu plus clair de l’accessibilité des marchés et zone.</w:t>
      </w:r>
    </w:p>
    <w:p w14:paraId="2DB86F3C" w14:textId="77777777" w:rsidR="001B049C" w:rsidRDefault="001B049C" w:rsidP="00975654">
      <w:pPr>
        <w:jc w:val="both"/>
      </w:pPr>
      <w:r>
        <w:t xml:space="preserve">Propositions/Recommandation : </w:t>
      </w:r>
    </w:p>
    <w:p w14:paraId="6CDB161B" w14:textId="7CF762A6" w:rsidR="00B51DC0" w:rsidRDefault="001B049C" w:rsidP="00410D22">
      <w:pPr>
        <w:pStyle w:val="ListParagraph"/>
        <w:numPr>
          <w:ilvl w:val="0"/>
          <w:numId w:val="3"/>
        </w:numPr>
        <w:jc w:val="both"/>
      </w:pPr>
      <w:r>
        <w:t xml:space="preserve">Mettre à profit les partenaires locaux / ONGN du </w:t>
      </w:r>
      <w:r w:rsidR="00B51DC0">
        <w:t>HCR/PAM pour la collecte</w:t>
      </w:r>
      <w:r>
        <w:t xml:space="preserve"> des données</w:t>
      </w:r>
      <w:r w:rsidR="00B51DC0">
        <w:t>.</w:t>
      </w:r>
    </w:p>
    <w:p w14:paraId="00FF5007" w14:textId="04AE25A3" w:rsidR="001B049C" w:rsidRDefault="001B049C" w:rsidP="00410D22">
      <w:pPr>
        <w:pStyle w:val="ListParagraph"/>
        <w:numPr>
          <w:ilvl w:val="0"/>
          <w:numId w:val="3"/>
        </w:numPr>
        <w:jc w:val="both"/>
      </w:pPr>
      <w:r>
        <w:t>Profiter de la sécurisation des zones qui est en cours de négociation par OCHA aller sur le terrain pour la collecte des données</w:t>
      </w:r>
      <w:r w:rsidR="00B51DC0">
        <w:t>.</w:t>
      </w:r>
    </w:p>
    <w:p w14:paraId="19B621ED" w14:textId="27E68627" w:rsidR="00B51DC0" w:rsidRDefault="00B51DC0" w:rsidP="00410D22">
      <w:pPr>
        <w:pStyle w:val="ListParagraph"/>
        <w:numPr>
          <w:ilvl w:val="0"/>
          <w:numId w:val="3"/>
        </w:numPr>
        <w:jc w:val="both"/>
      </w:pPr>
      <w:r>
        <w:t>Si pas d’accès : possibilité de co</w:t>
      </w:r>
      <w:r w:rsidR="001B049C">
        <w:t xml:space="preserve">llecter </w:t>
      </w:r>
      <w:r>
        <w:t xml:space="preserve">les informateurs clés par téléphone. Cependant cette méthode de collecte à distance n’est pas aussi fiable que </w:t>
      </w:r>
      <w:r w:rsidR="00364A81">
        <w:t>la collecte de données directe.</w:t>
      </w:r>
    </w:p>
    <w:p w14:paraId="69AF1741" w14:textId="4BCC541C" w:rsidR="00A84F12" w:rsidRDefault="00A84F12" w:rsidP="00552F7C">
      <w:pPr>
        <w:spacing w:after="0"/>
        <w:jc w:val="both"/>
      </w:pPr>
      <w:r>
        <w:t xml:space="preserve">Un mail va être partagé par REACH </w:t>
      </w:r>
      <w:r w:rsidR="001B049C">
        <w:t>via le lead du CWG afin de solliciter</w:t>
      </w:r>
      <w:r>
        <w:t xml:space="preserve"> l’appui des</w:t>
      </w:r>
      <w:r w:rsidR="001B049C">
        <w:t xml:space="preserve"> partenaires</w:t>
      </w:r>
      <w:r>
        <w:t xml:space="preserve"> </w:t>
      </w:r>
      <w:r w:rsidR="001B049C">
        <w:t xml:space="preserve">sur le terrain </w:t>
      </w:r>
      <w:r>
        <w:t>.</w:t>
      </w:r>
    </w:p>
    <w:p w14:paraId="7D1BF871" w14:textId="6E99740C" w:rsidR="00A84F12" w:rsidRDefault="001B049C" w:rsidP="00410D22">
      <w:pPr>
        <w:spacing w:after="0"/>
        <w:jc w:val="both"/>
      </w:pPr>
      <w:r>
        <w:t xml:space="preserve">Elargir </w:t>
      </w:r>
      <w:r w:rsidR="00F32FD9">
        <w:t xml:space="preserve">également </w:t>
      </w:r>
      <w:r>
        <w:t xml:space="preserve">le groupe technique devant travailler sur l’étude de faisabilité Cash Tillaberi aux partenaires comme </w:t>
      </w:r>
      <w:r w:rsidR="00A84F12">
        <w:t>Mercy Corps et IRC.</w:t>
      </w:r>
    </w:p>
    <w:p w14:paraId="3406EF3E" w14:textId="77777777" w:rsidR="001B049C" w:rsidRDefault="001B049C" w:rsidP="00410D22">
      <w:pPr>
        <w:spacing w:after="0"/>
        <w:jc w:val="both"/>
      </w:pPr>
    </w:p>
    <w:p w14:paraId="35171378" w14:textId="77777777" w:rsidR="001C0415" w:rsidRPr="00364A81" w:rsidRDefault="001C0415" w:rsidP="001C0415">
      <w:pPr>
        <w:pStyle w:val="ListParagraph"/>
        <w:numPr>
          <w:ilvl w:val="0"/>
          <w:numId w:val="1"/>
        </w:numPr>
        <w:rPr>
          <w:b/>
        </w:rPr>
      </w:pPr>
      <w:r w:rsidRPr="00364A81">
        <w:rPr>
          <w:b/>
        </w:rPr>
        <w:t>Update du MEB</w:t>
      </w:r>
    </w:p>
    <w:p w14:paraId="5152A55B" w14:textId="4F5C3295" w:rsidR="001C0415" w:rsidRDefault="00686AB2" w:rsidP="00686AB2">
      <w:pPr>
        <w:jc w:val="both"/>
        <w:rPr>
          <w:b/>
        </w:rPr>
      </w:pPr>
      <w:r>
        <w:t>Un montant a été déterminé (en fonction du montant du panier alimentaire et du panier non-alimentaire). Le montant doit être validé par les autorités</w:t>
      </w:r>
      <w:r w:rsidR="004F4AA1">
        <w:t xml:space="preserve"> à la prochaine réunion</w:t>
      </w:r>
      <w:r>
        <w:t>.</w:t>
      </w:r>
    </w:p>
    <w:p w14:paraId="6A9E67D3" w14:textId="77777777" w:rsidR="003117B9" w:rsidRDefault="004C221B" w:rsidP="004C221B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Divers</w:t>
      </w:r>
    </w:p>
    <w:p w14:paraId="5A020CB3" w14:textId="77777777" w:rsidR="004C221B" w:rsidRPr="004C221B" w:rsidRDefault="004C221B" w:rsidP="004C221B">
      <w:pPr>
        <w:jc w:val="both"/>
      </w:pPr>
      <w:r>
        <w:t>Due Diligence – une mission en cours du PAM</w:t>
      </w:r>
    </w:p>
    <w:p w14:paraId="1BAE2352" w14:textId="3E458E0D" w:rsidR="001C0415" w:rsidRDefault="004C221B" w:rsidP="001C0415">
      <w:r>
        <w:t>Prochaine</w:t>
      </w:r>
      <w:r w:rsidR="00410D22">
        <w:t xml:space="preserve"> réunion</w:t>
      </w:r>
      <w:r>
        <w:t> : 8/01/2020</w:t>
      </w:r>
    </w:p>
    <w:sectPr w:rsidR="001C0415" w:rsidSect="00F32FD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D7FC9" w14:textId="77777777" w:rsidR="006C087E" w:rsidRDefault="006C087E" w:rsidP="00686AB2">
      <w:pPr>
        <w:spacing w:after="0" w:line="240" w:lineRule="auto"/>
      </w:pPr>
      <w:r>
        <w:separator/>
      </w:r>
    </w:p>
  </w:endnote>
  <w:endnote w:type="continuationSeparator" w:id="0">
    <w:p w14:paraId="3910406D" w14:textId="77777777" w:rsidR="006C087E" w:rsidRDefault="006C087E" w:rsidP="0068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430900"/>
      <w:docPartObj>
        <w:docPartGallery w:val="Page Numbers (Bottom of Page)"/>
        <w:docPartUnique/>
      </w:docPartObj>
    </w:sdtPr>
    <w:sdtEndPr/>
    <w:sdtContent>
      <w:p w14:paraId="443701E2" w14:textId="0E8DAEE3" w:rsidR="00686AB2" w:rsidRDefault="00686A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A9C">
          <w:rPr>
            <w:noProof/>
          </w:rPr>
          <w:t>3</w:t>
        </w:r>
        <w:r>
          <w:fldChar w:fldCharType="end"/>
        </w:r>
      </w:p>
    </w:sdtContent>
  </w:sdt>
  <w:p w14:paraId="0D5019F7" w14:textId="77777777" w:rsidR="00686AB2" w:rsidRDefault="00686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D0BE3" w14:textId="77777777" w:rsidR="006C087E" w:rsidRDefault="006C087E" w:rsidP="00686AB2">
      <w:pPr>
        <w:spacing w:after="0" w:line="240" w:lineRule="auto"/>
      </w:pPr>
      <w:r>
        <w:separator/>
      </w:r>
    </w:p>
  </w:footnote>
  <w:footnote w:type="continuationSeparator" w:id="0">
    <w:p w14:paraId="15CCF58B" w14:textId="77777777" w:rsidR="006C087E" w:rsidRDefault="006C087E" w:rsidP="0068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CA3"/>
    <w:multiLevelType w:val="hybridMultilevel"/>
    <w:tmpl w:val="06763C12"/>
    <w:lvl w:ilvl="0" w:tplc="40B0202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D8A"/>
    <w:multiLevelType w:val="hybridMultilevel"/>
    <w:tmpl w:val="5D8A10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D63"/>
    <w:multiLevelType w:val="hybridMultilevel"/>
    <w:tmpl w:val="1CBEF376"/>
    <w:lvl w:ilvl="0" w:tplc="59D6CA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01440"/>
    <w:multiLevelType w:val="hybridMultilevel"/>
    <w:tmpl w:val="1662F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54379"/>
    <w:multiLevelType w:val="hybridMultilevel"/>
    <w:tmpl w:val="F370D1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15"/>
    <w:rsid w:val="000361E3"/>
    <w:rsid w:val="00051943"/>
    <w:rsid w:val="000B65C8"/>
    <w:rsid w:val="00110F89"/>
    <w:rsid w:val="0012641A"/>
    <w:rsid w:val="001269F6"/>
    <w:rsid w:val="00153325"/>
    <w:rsid w:val="00155549"/>
    <w:rsid w:val="001742AA"/>
    <w:rsid w:val="001A723D"/>
    <w:rsid w:val="001B049C"/>
    <w:rsid w:val="001C0415"/>
    <w:rsid w:val="001E7726"/>
    <w:rsid w:val="001F0CE7"/>
    <w:rsid w:val="001F4782"/>
    <w:rsid w:val="00206AE7"/>
    <w:rsid w:val="00227CCF"/>
    <w:rsid w:val="002440CA"/>
    <w:rsid w:val="003117B9"/>
    <w:rsid w:val="00364467"/>
    <w:rsid w:val="00364A81"/>
    <w:rsid w:val="003B6985"/>
    <w:rsid w:val="00410D22"/>
    <w:rsid w:val="00432888"/>
    <w:rsid w:val="004636BD"/>
    <w:rsid w:val="00473D97"/>
    <w:rsid w:val="004C221B"/>
    <w:rsid w:val="004C2D5B"/>
    <w:rsid w:val="004D1A42"/>
    <w:rsid w:val="004F4AA1"/>
    <w:rsid w:val="00520A48"/>
    <w:rsid w:val="00543BB1"/>
    <w:rsid w:val="00552F7C"/>
    <w:rsid w:val="005765BA"/>
    <w:rsid w:val="0058435C"/>
    <w:rsid w:val="005A3303"/>
    <w:rsid w:val="005A7A20"/>
    <w:rsid w:val="005B4549"/>
    <w:rsid w:val="005C3C3F"/>
    <w:rsid w:val="005D4515"/>
    <w:rsid w:val="005D560C"/>
    <w:rsid w:val="005E7D2A"/>
    <w:rsid w:val="005F06FF"/>
    <w:rsid w:val="00686AB2"/>
    <w:rsid w:val="006946AE"/>
    <w:rsid w:val="006B646F"/>
    <w:rsid w:val="006B7A07"/>
    <w:rsid w:val="006C087E"/>
    <w:rsid w:val="006E1B28"/>
    <w:rsid w:val="006F5B52"/>
    <w:rsid w:val="007226C0"/>
    <w:rsid w:val="00753BFE"/>
    <w:rsid w:val="00767F97"/>
    <w:rsid w:val="00777E45"/>
    <w:rsid w:val="007C3CC1"/>
    <w:rsid w:val="007C4A9C"/>
    <w:rsid w:val="007D6F38"/>
    <w:rsid w:val="007E2F7E"/>
    <w:rsid w:val="007F52F1"/>
    <w:rsid w:val="008173F4"/>
    <w:rsid w:val="00852CDD"/>
    <w:rsid w:val="00861E09"/>
    <w:rsid w:val="008E2013"/>
    <w:rsid w:val="009152C1"/>
    <w:rsid w:val="00975654"/>
    <w:rsid w:val="009A42D2"/>
    <w:rsid w:val="009D41A3"/>
    <w:rsid w:val="009E5C90"/>
    <w:rsid w:val="00A018D2"/>
    <w:rsid w:val="00A410E1"/>
    <w:rsid w:val="00A46B9B"/>
    <w:rsid w:val="00A7683A"/>
    <w:rsid w:val="00A76CAC"/>
    <w:rsid w:val="00A84F12"/>
    <w:rsid w:val="00AF7698"/>
    <w:rsid w:val="00B40224"/>
    <w:rsid w:val="00B51DC0"/>
    <w:rsid w:val="00B85216"/>
    <w:rsid w:val="00BB164B"/>
    <w:rsid w:val="00BB6295"/>
    <w:rsid w:val="00BD631B"/>
    <w:rsid w:val="00C16C11"/>
    <w:rsid w:val="00C5127E"/>
    <w:rsid w:val="00CB0DCD"/>
    <w:rsid w:val="00CD2B5F"/>
    <w:rsid w:val="00D51802"/>
    <w:rsid w:val="00D52309"/>
    <w:rsid w:val="00D834A9"/>
    <w:rsid w:val="00D94870"/>
    <w:rsid w:val="00DE0B0D"/>
    <w:rsid w:val="00E44ABA"/>
    <w:rsid w:val="00E85A69"/>
    <w:rsid w:val="00E9327A"/>
    <w:rsid w:val="00E93F09"/>
    <w:rsid w:val="00E96EC8"/>
    <w:rsid w:val="00EB4FE4"/>
    <w:rsid w:val="00EE307C"/>
    <w:rsid w:val="00F17446"/>
    <w:rsid w:val="00F32FD9"/>
    <w:rsid w:val="00F44314"/>
    <w:rsid w:val="00F85FF3"/>
    <w:rsid w:val="00F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BC2D"/>
  <w15:docId w15:val="{0CD39089-CC54-4F9A-9E00-986309B1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B2"/>
  </w:style>
  <w:style w:type="paragraph" w:styleId="Footer">
    <w:name w:val="footer"/>
    <w:basedOn w:val="Normal"/>
    <w:link w:val="FooterChar"/>
    <w:uiPriority w:val="99"/>
    <w:unhideWhenUsed/>
    <w:rsid w:val="0068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B2"/>
  </w:style>
  <w:style w:type="character" w:styleId="CommentReference">
    <w:name w:val="annotation reference"/>
    <w:basedOn w:val="DefaultParagraphFont"/>
    <w:uiPriority w:val="99"/>
    <w:semiHidden/>
    <w:unhideWhenUsed/>
    <w:rsid w:val="006B6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4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ACTED Niger</dc:creator>
  <cp:lastModifiedBy>Fadima Soumana</cp:lastModifiedBy>
  <cp:revision>5</cp:revision>
  <dcterms:created xsi:type="dcterms:W3CDTF">2019-12-11T09:48:00Z</dcterms:created>
  <dcterms:modified xsi:type="dcterms:W3CDTF">2019-12-11T09:54:00Z</dcterms:modified>
</cp:coreProperties>
</file>