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6662"/>
      </w:tblGrid>
      <w:tr w:rsidR="00252B9E" w:rsidRPr="00B9787C" w:rsidTr="00E91EBC">
        <w:tc>
          <w:tcPr>
            <w:tcW w:w="10598" w:type="dxa"/>
            <w:gridSpan w:val="2"/>
            <w:tcBorders>
              <w:top w:val="single" w:sz="4" w:space="0" w:color="FF0000"/>
              <w:left w:val="single" w:sz="4" w:space="0" w:color="FF0000"/>
              <w:bottom w:val="single" w:sz="4" w:space="0" w:color="FF0000"/>
              <w:right w:val="single" w:sz="4" w:space="0" w:color="FF0000"/>
            </w:tcBorders>
            <w:shd w:val="clear" w:color="auto" w:fill="FF0000"/>
          </w:tcPr>
          <w:p w:rsidR="00252B9E" w:rsidRPr="000E45C8" w:rsidRDefault="00252B9E" w:rsidP="00E91EBC">
            <w:pPr>
              <w:rPr>
                <w:b/>
                <w:bCs/>
                <w:color w:val="FFFFFF"/>
                <w:sz w:val="18"/>
                <w:lang w:val="en-US"/>
              </w:rPr>
            </w:pPr>
          </w:p>
          <w:p w:rsidR="009E4480" w:rsidRDefault="00B9787C" w:rsidP="00E91EBC">
            <w:pPr>
              <w:jc w:val="center"/>
              <w:rPr>
                <w:b/>
                <w:noProof/>
                <w:lang w:val="fr-FR" w:eastAsia="fr-FR"/>
              </w:rPr>
            </w:pPr>
            <w:r>
              <w:rPr>
                <w:b/>
                <w:noProof/>
                <w:lang w:val="fr-FR" w:eastAsia="fr-FR"/>
              </w:rPr>
              <w:t xml:space="preserve">Fiche de partage d’expérience des PTM </w:t>
            </w:r>
            <w:r w:rsidR="00E91EBC" w:rsidRPr="00E91EBC">
              <w:rPr>
                <w:b/>
                <w:noProof/>
                <w:lang w:val="fr-FR" w:eastAsia="fr-FR"/>
              </w:rPr>
              <w:t xml:space="preserve"> – </w:t>
            </w:r>
            <w:r w:rsidR="00934100">
              <w:rPr>
                <w:b/>
                <w:noProof/>
                <w:lang w:val="fr-FR" w:eastAsia="fr-FR"/>
              </w:rPr>
              <w:t>Capitalisation</w:t>
            </w:r>
          </w:p>
          <w:p w:rsidR="00E91EBC" w:rsidRPr="00E91EBC" w:rsidRDefault="00A20B20" w:rsidP="00E91EBC">
            <w:pPr>
              <w:jc w:val="center"/>
              <w:rPr>
                <w:b/>
                <w:noProof/>
                <w:lang w:val="fr-FR" w:eastAsia="fr-FR"/>
              </w:rPr>
            </w:pPr>
            <w:r w:rsidRPr="00A20B20">
              <w:rPr>
                <w:b/>
                <w:noProof/>
                <w:lang w:val="fr-FR" w:eastAsia="fr-FR"/>
              </w:rPr>
              <w:t>Mauritanie</w:t>
            </w:r>
            <w:r w:rsidR="00E91EBC" w:rsidRPr="00A20B20">
              <w:rPr>
                <w:b/>
                <w:noProof/>
                <w:lang w:val="fr-FR" w:eastAsia="fr-FR"/>
              </w:rPr>
              <w:t xml:space="preserve">, </w:t>
            </w:r>
            <w:r w:rsidRPr="00A20B20">
              <w:rPr>
                <w:b/>
                <w:noProof/>
                <w:lang w:val="fr-FR" w:eastAsia="fr-FR"/>
              </w:rPr>
              <w:t>Croix Rouge francaise</w:t>
            </w:r>
            <w:r w:rsidR="00B9787C" w:rsidRPr="00A20B20">
              <w:rPr>
                <w:b/>
                <w:noProof/>
                <w:lang w:val="fr-FR" w:eastAsia="fr-FR"/>
              </w:rPr>
              <w:t xml:space="preserve">, </w:t>
            </w:r>
            <w:r w:rsidR="00E91EBC" w:rsidRPr="00A20B20">
              <w:rPr>
                <w:b/>
                <w:noProof/>
                <w:lang w:val="fr-FR" w:eastAsia="fr-FR"/>
              </w:rPr>
              <w:t>201</w:t>
            </w:r>
            <w:r w:rsidR="00FE6C96" w:rsidRPr="00A20B20">
              <w:rPr>
                <w:b/>
                <w:noProof/>
                <w:lang w:val="fr-FR" w:eastAsia="fr-FR"/>
              </w:rPr>
              <w:t>3</w:t>
            </w:r>
          </w:p>
          <w:p w:rsidR="00252B9E" w:rsidRPr="001A56E0" w:rsidRDefault="00252B9E" w:rsidP="009E4480">
            <w:pPr>
              <w:jc w:val="center"/>
              <w:rPr>
                <w:b/>
                <w:bCs/>
                <w:color w:val="FFFFFF"/>
                <w:sz w:val="8"/>
                <w:szCs w:val="8"/>
                <w:lang w:val="fr-FR"/>
              </w:rPr>
            </w:pPr>
          </w:p>
        </w:tc>
      </w:tr>
      <w:tr w:rsidR="00252B9E" w:rsidRPr="00B9787C" w:rsidTr="00E91EBC">
        <w:tc>
          <w:tcPr>
            <w:tcW w:w="3936" w:type="dxa"/>
            <w:shd w:val="clear" w:color="auto" w:fill="EAF1DD"/>
            <w:tcMar>
              <w:top w:w="170" w:type="dxa"/>
              <w:bottom w:w="170" w:type="dxa"/>
            </w:tcMar>
            <w:vAlign w:val="center"/>
          </w:tcPr>
          <w:p w:rsidR="00252B9E" w:rsidRPr="001A56E0" w:rsidRDefault="00C87392" w:rsidP="00C87392">
            <w:pPr>
              <w:rPr>
                <w:sz w:val="20"/>
                <w:lang w:val="fr-FR"/>
              </w:rPr>
            </w:pPr>
            <w:r>
              <w:rPr>
                <w:sz w:val="20"/>
                <w:lang w:val="fr-FR"/>
              </w:rPr>
              <w:t>Type de document plus complet disponible (évaluation/capitalisation, Interne/externe)</w:t>
            </w:r>
          </w:p>
        </w:tc>
        <w:tc>
          <w:tcPr>
            <w:tcW w:w="6662" w:type="dxa"/>
            <w:shd w:val="clear" w:color="auto" w:fill="EEECE1"/>
            <w:tcMar>
              <w:top w:w="170" w:type="dxa"/>
              <w:bottom w:w="170" w:type="dxa"/>
            </w:tcMar>
            <w:vAlign w:val="center"/>
          </w:tcPr>
          <w:p w:rsidR="001667FF" w:rsidRDefault="00C45F1B" w:rsidP="001667FF">
            <w:pPr>
              <w:rPr>
                <w:color w:val="000000"/>
                <w:sz w:val="18"/>
                <w:lang w:val="fr-FR"/>
              </w:rPr>
            </w:pPr>
            <w:r>
              <w:rPr>
                <w:color w:val="000000"/>
                <w:sz w:val="18"/>
                <w:lang w:val="fr-FR"/>
              </w:rPr>
              <w:t xml:space="preserve">Documents d’évaluation / capitalisation : </w:t>
            </w:r>
          </w:p>
          <w:p w:rsidR="001667FF" w:rsidRPr="001667FF" w:rsidRDefault="001667FF" w:rsidP="001667FF">
            <w:pPr>
              <w:rPr>
                <w:color w:val="000000"/>
                <w:sz w:val="18"/>
                <w:lang w:val="fr-FR"/>
              </w:rPr>
            </w:pPr>
          </w:p>
          <w:p w:rsidR="00252B9E" w:rsidRPr="001667FF" w:rsidRDefault="001667FF" w:rsidP="001667FF">
            <w:pPr>
              <w:rPr>
                <w:bCs/>
                <w:color w:val="000000"/>
                <w:sz w:val="18"/>
                <w:lang w:val="fr-FR"/>
              </w:rPr>
            </w:pPr>
            <w:r w:rsidRPr="001667FF">
              <w:rPr>
                <w:bCs/>
                <w:color w:val="000000"/>
                <w:sz w:val="18"/>
                <w:lang w:val="fr-FR"/>
              </w:rPr>
              <w:t xml:space="preserve">Etude des effets des transferts monétaires </w:t>
            </w:r>
            <w:r w:rsidRPr="001667FF">
              <w:rPr>
                <w:rFonts w:ascii="Calibri" w:hAnsi="Calibri" w:cs="Calibri"/>
                <w:color w:val="000000"/>
                <w:szCs w:val="24"/>
                <w:lang w:val="fr-FR"/>
              </w:rPr>
              <w:t xml:space="preserve"> </w:t>
            </w:r>
            <w:r w:rsidRPr="001667FF">
              <w:rPr>
                <w:bCs/>
                <w:color w:val="000000"/>
                <w:sz w:val="18"/>
                <w:lang w:val="fr-FR"/>
              </w:rPr>
              <w:t xml:space="preserve">- Commune de </w:t>
            </w:r>
            <w:proofErr w:type="spellStart"/>
            <w:r w:rsidRPr="001667FF">
              <w:rPr>
                <w:bCs/>
                <w:color w:val="000000"/>
                <w:sz w:val="18"/>
                <w:lang w:val="fr-FR"/>
              </w:rPr>
              <w:t>Tikwobra</w:t>
            </w:r>
            <w:proofErr w:type="spellEnd"/>
            <w:r w:rsidRPr="001667FF">
              <w:rPr>
                <w:bCs/>
                <w:color w:val="000000"/>
                <w:sz w:val="18"/>
                <w:lang w:val="fr-FR"/>
              </w:rPr>
              <w:t xml:space="preserve"> - </w:t>
            </w:r>
            <w:proofErr w:type="spellStart"/>
            <w:r w:rsidRPr="001667FF">
              <w:rPr>
                <w:bCs/>
                <w:color w:val="000000"/>
                <w:sz w:val="18"/>
                <w:lang w:val="fr-FR"/>
              </w:rPr>
              <w:t>Moughataa</w:t>
            </w:r>
            <w:proofErr w:type="spellEnd"/>
            <w:r w:rsidRPr="001667FF">
              <w:rPr>
                <w:bCs/>
                <w:color w:val="000000"/>
                <w:sz w:val="18"/>
                <w:lang w:val="fr-FR"/>
              </w:rPr>
              <w:t xml:space="preserve"> de M’bout - Wilaya du </w:t>
            </w:r>
            <w:proofErr w:type="spellStart"/>
            <w:r w:rsidRPr="001667FF">
              <w:rPr>
                <w:bCs/>
                <w:color w:val="000000"/>
                <w:sz w:val="18"/>
                <w:lang w:val="fr-FR"/>
              </w:rPr>
              <w:t>Gorgol</w:t>
            </w:r>
            <w:proofErr w:type="spellEnd"/>
            <w:r w:rsidRPr="001667FF">
              <w:rPr>
                <w:bCs/>
                <w:color w:val="000000"/>
                <w:sz w:val="18"/>
                <w:lang w:val="fr-FR"/>
              </w:rPr>
              <w:t xml:space="preserve"> - République Islamique de Mauritanie</w:t>
            </w:r>
          </w:p>
          <w:p w:rsidR="001667FF" w:rsidRPr="001667FF" w:rsidRDefault="001667FF" w:rsidP="001667FF">
            <w:pPr>
              <w:rPr>
                <w:color w:val="000000"/>
                <w:sz w:val="18"/>
                <w:lang w:val="fr-FR"/>
              </w:rPr>
            </w:pPr>
          </w:p>
          <w:p w:rsidR="00C45F1B" w:rsidRDefault="00C45F1B" w:rsidP="001667FF">
            <w:pPr>
              <w:rPr>
                <w:bCs/>
                <w:color w:val="000000"/>
                <w:sz w:val="18"/>
                <w:lang w:val="fr-FR"/>
              </w:rPr>
            </w:pPr>
            <w:r>
              <w:rPr>
                <w:bCs/>
                <w:color w:val="000000"/>
                <w:sz w:val="18"/>
                <w:lang w:val="fr-FR"/>
              </w:rPr>
              <w:t xml:space="preserve">Documents connexes : </w:t>
            </w:r>
          </w:p>
          <w:p w:rsidR="001667FF" w:rsidRPr="00C45F1B" w:rsidRDefault="00C45F1B" w:rsidP="00C45F1B">
            <w:pPr>
              <w:pStyle w:val="Paragraphedeliste"/>
              <w:numPr>
                <w:ilvl w:val="0"/>
                <w:numId w:val="3"/>
              </w:numPr>
              <w:ind w:left="317" w:hanging="284"/>
              <w:rPr>
                <w:bCs/>
                <w:color w:val="000000"/>
                <w:sz w:val="18"/>
                <w:lang w:val="fr-FR"/>
              </w:rPr>
            </w:pPr>
            <w:r>
              <w:rPr>
                <w:bCs/>
                <w:color w:val="000000"/>
                <w:sz w:val="18"/>
                <w:lang w:val="fr-FR"/>
              </w:rPr>
              <w:t>Etude de la Vulnérabilité à l’Insécurité A</w:t>
            </w:r>
            <w:r w:rsidR="001667FF" w:rsidRPr="00C45F1B">
              <w:rPr>
                <w:bCs/>
                <w:color w:val="000000"/>
                <w:sz w:val="18"/>
                <w:lang w:val="fr-FR"/>
              </w:rPr>
              <w:t>lime</w:t>
            </w:r>
            <w:r>
              <w:rPr>
                <w:bCs/>
                <w:color w:val="000000"/>
                <w:sz w:val="18"/>
                <w:lang w:val="fr-FR"/>
              </w:rPr>
              <w:t>ntaire des M</w:t>
            </w:r>
            <w:r w:rsidR="001667FF" w:rsidRPr="00C45F1B">
              <w:rPr>
                <w:bCs/>
                <w:color w:val="000000"/>
                <w:sz w:val="18"/>
                <w:lang w:val="fr-FR"/>
              </w:rPr>
              <w:t xml:space="preserve">énages pauvres (EVIAM) </w:t>
            </w:r>
            <w:r w:rsidR="001667FF" w:rsidRPr="00C45F1B">
              <w:rPr>
                <w:color w:val="000000"/>
                <w:sz w:val="18"/>
                <w:lang w:val="fr-FR"/>
              </w:rPr>
              <w:t xml:space="preserve">- </w:t>
            </w:r>
            <w:r w:rsidR="001667FF" w:rsidRPr="00C45F1B">
              <w:rPr>
                <w:bCs/>
                <w:color w:val="000000"/>
                <w:sz w:val="18"/>
                <w:lang w:val="fr-FR"/>
              </w:rPr>
              <w:t xml:space="preserve">Commune de </w:t>
            </w:r>
            <w:proofErr w:type="spellStart"/>
            <w:r w:rsidR="001667FF" w:rsidRPr="00C45F1B">
              <w:rPr>
                <w:bCs/>
                <w:color w:val="000000"/>
                <w:sz w:val="18"/>
                <w:lang w:val="fr-FR"/>
              </w:rPr>
              <w:t>Tikwobra</w:t>
            </w:r>
            <w:proofErr w:type="spellEnd"/>
            <w:r w:rsidR="001667FF" w:rsidRPr="00C45F1B">
              <w:rPr>
                <w:bCs/>
                <w:color w:val="000000"/>
                <w:sz w:val="18"/>
                <w:lang w:val="fr-FR"/>
              </w:rPr>
              <w:t xml:space="preserve"> - </w:t>
            </w:r>
            <w:proofErr w:type="spellStart"/>
            <w:r w:rsidR="001667FF" w:rsidRPr="00C45F1B">
              <w:rPr>
                <w:bCs/>
                <w:color w:val="000000"/>
                <w:sz w:val="18"/>
                <w:lang w:val="fr-FR"/>
              </w:rPr>
              <w:t>Moughataa</w:t>
            </w:r>
            <w:proofErr w:type="spellEnd"/>
            <w:r w:rsidR="001667FF" w:rsidRPr="00C45F1B">
              <w:rPr>
                <w:bCs/>
                <w:color w:val="000000"/>
                <w:sz w:val="18"/>
                <w:lang w:val="fr-FR"/>
              </w:rPr>
              <w:t xml:space="preserve"> de M’bout - Wilaya du </w:t>
            </w:r>
            <w:proofErr w:type="spellStart"/>
            <w:r w:rsidR="001667FF" w:rsidRPr="00C45F1B">
              <w:rPr>
                <w:bCs/>
                <w:color w:val="000000"/>
                <w:sz w:val="18"/>
                <w:lang w:val="fr-FR"/>
              </w:rPr>
              <w:t>Gorgol</w:t>
            </w:r>
            <w:proofErr w:type="spellEnd"/>
            <w:r w:rsidR="001667FF" w:rsidRPr="00C45F1B">
              <w:rPr>
                <w:bCs/>
                <w:color w:val="000000"/>
                <w:sz w:val="18"/>
                <w:lang w:val="fr-FR"/>
              </w:rPr>
              <w:t xml:space="preserve"> </w:t>
            </w:r>
            <w:r w:rsidR="001667FF" w:rsidRPr="00C45F1B">
              <w:rPr>
                <w:color w:val="000000"/>
                <w:sz w:val="18"/>
                <w:lang w:val="fr-FR"/>
              </w:rPr>
              <w:t xml:space="preserve"> - </w:t>
            </w:r>
            <w:r w:rsidR="001667FF" w:rsidRPr="00C45F1B">
              <w:rPr>
                <w:bCs/>
                <w:color w:val="000000"/>
                <w:sz w:val="18"/>
                <w:lang w:val="fr-FR"/>
              </w:rPr>
              <w:t>République Islamique de Mauritanie</w:t>
            </w:r>
            <w:r>
              <w:rPr>
                <w:bCs/>
                <w:color w:val="000000"/>
                <w:sz w:val="18"/>
                <w:lang w:val="fr-FR"/>
              </w:rPr>
              <w:t>.</w:t>
            </w:r>
          </w:p>
          <w:p w:rsidR="001667FF" w:rsidRPr="00C45F1B" w:rsidRDefault="001667FF" w:rsidP="00C45F1B">
            <w:pPr>
              <w:pStyle w:val="Paragraphedeliste"/>
              <w:numPr>
                <w:ilvl w:val="0"/>
                <w:numId w:val="3"/>
              </w:numPr>
              <w:ind w:left="317" w:hanging="284"/>
              <w:rPr>
                <w:bCs/>
                <w:color w:val="000000"/>
                <w:sz w:val="18"/>
                <w:lang w:val="fr-FR"/>
              </w:rPr>
            </w:pPr>
            <w:r w:rsidRPr="00C45F1B">
              <w:rPr>
                <w:bCs/>
                <w:color w:val="000000"/>
                <w:sz w:val="18"/>
                <w:lang w:val="fr-FR"/>
              </w:rPr>
              <w:t xml:space="preserve">Le Bagot, La Daba et  l’Ouguiya. Rôle des mobilités saisonnières dans l’économie des ménages pauvres  - Commune de </w:t>
            </w:r>
            <w:proofErr w:type="spellStart"/>
            <w:r w:rsidRPr="00C45F1B">
              <w:rPr>
                <w:bCs/>
                <w:color w:val="000000"/>
                <w:sz w:val="18"/>
                <w:lang w:val="fr-FR"/>
              </w:rPr>
              <w:t>Tikwobra</w:t>
            </w:r>
            <w:proofErr w:type="spellEnd"/>
            <w:r w:rsidRPr="00C45F1B">
              <w:rPr>
                <w:bCs/>
                <w:color w:val="000000"/>
                <w:sz w:val="18"/>
                <w:lang w:val="fr-FR"/>
              </w:rPr>
              <w:t xml:space="preserve"> et Ville de Nouakchott, Mauritanie</w:t>
            </w:r>
            <w:r w:rsidR="00C45F1B">
              <w:rPr>
                <w:bCs/>
                <w:color w:val="000000"/>
                <w:sz w:val="18"/>
                <w:lang w:val="fr-FR"/>
              </w:rPr>
              <w:t>.</w:t>
            </w:r>
          </w:p>
        </w:tc>
      </w:tr>
      <w:tr w:rsidR="00252B9E" w:rsidRPr="00043FAF" w:rsidTr="00E91EBC">
        <w:tc>
          <w:tcPr>
            <w:tcW w:w="3936" w:type="dxa"/>
            <w:shd w:val="clear" w:color="auto" w:fill="EAF1DD"/>
            <w:tcMar>
              <w:top w:w="170" w:type="dxa"/>
              <w:bottom w:w="170" w:type="dxa"/>
            </w:tcMar>
            <w:vAlign w:val="center"/>
          </w:tcPr>
          <w:p w:rsidR="00252B9E" w:rsidRPr="001A56E0" w:rsidRDefault="00252B9E" w:rsidP="009E4480">
            <w:pPr>
              <w:rPr>
                <w:sz w:val="20"/>
                <w:lang w:val="fr-FR"/>
              </w:rPr>
            </w:pPr>
            <w:r w:rsidRPr="001A56E0">
              <w:rPr>
                <w:sz w:val="20"/>
                <w:lang w:val="fr-FR"/>
              </w:rPr>
              <w:t xml:space="preserve">Localisation: Pays, </w:t>
            </w:r>
            <w:r w:rsidR="009E4480">
              <w:rPr>
                <w:sz w:val="20"/>
                <w:lang w:val="fr-FR"/>
              </w:rPr>
              <w:t xml:space="preserve">Région/département/Communes </w:t>
            </w:r>
          </w:p>
        </w:tc>
        <w:tc>
          <w:tcPr>
            <w:tcW w:w="6662" w:type="dxa"/>
            <w:shd w:val="clear" w:color="auto" w:fill="EEECE1"/>
            <w:tcMar>
              <w:top w:w="170" w:type="dxa"/>
              <w:bottom w:w="170" w:type="dxa"/>
            </w:tcMar>
            <w:vAlign w:val="center"/>
          </w:tcPr>
          <w:p w:rsidR="000E5836" w:rsidRPr="001A56E0" w:rsidRDefault="00A20B20" w:rsidP="00E91EBC">
            <w:pPr>
              <w:rPr>
                <w:color w:val="000000"/>
                <w:sz w:val="18"/>
                <w:lang w:val="fr-FR"/>
              </w:rPr>
            </w:pPr>
            <w:r>
              <w:rPr>
                <w:color w:val="000000"/>
                <w:sz w:val="18"/>
                <w:lang w:val="fr-FR"/>
              </w:rPr>
              <w:t xml:space="preserve">République Islamique de Mauritanie, Wilaya du </w:t>
            </w:r>
            <w:proofErr w:type="spellStart"/>
            <w:r>
              <w:rPr>
                <w:color w:val="000000"/>
                <w:sz w:val="18"/>
                <w:lang w:val="fr-FR"/>
              </w:rPr>
              <w:t>Gorgol</w:t>
            </w:r>
            <w:proofErr w:type="spellEnd"/>
            <w:r>
              <w:rPr>
                <w:color w:val="000000"/>
                <w:sz w:val="18"/>
                <w:lang w:val="fr-FR"/>
              </w:rPr>
              <w:t xml:space="preserve">, </w:t>
            </w:r>
            <w:proofErr w:type="spellStart"/>
            <w:r>
              <w:rPr>
                <w:color w:val="000000"/>
                <w:sz w:val="18"/>
                <w:lang w:val="fr-FR"/>
              </w:rPr>
              <w:t>Moughataa</w:t>
            </w:r>
            <w:proofErr w:type="spellEnd"/>
            <w:r>
              <w:rPr>
                <w:color w:val="000000"/>
                <w:sz w:val="18"/>
                <w:lang w:val="fr-FR"/>
              </w:rPr>
              <w:t xml:space="preserve">, </w:t>
            </w:r>
            <w:r w:rsidR="00C206C3">
              <w:rPr>
                <w:color w:val="000000"/>
                <w:sz w:val="18"/>
                <w:lang w:val="fr-FR"/>
              </w:rPr>
              <w:t>de M’bout, C</w:t>
            </w:r>
            <w:r>
              <w:rPr>
                <w:color w:val="000000"/>
                <w:sz w:val="18"/>
                <w:lang w:val="fr-FR"/>
              </w:rPr>
              <w:t xml:space="preserve">ommune de </w:t>
            </w:r>
            <w:proofErr w:type="spellStart"/>
            <w:r>
              <w:rPr>
                <w:color w:val="000000"/>
                <w:sz w:val="18"/>
                <w:lang w:val="fr-FR"/>
              </w:rPr>
              <w:t>Tikwobra</w:t>
            </w:r>
            <w:proofErr w:type="spellEnd"/>
            <w:r>
              <w:rPr>
                <w:color w:val="000000"/>
                <w:sz w:val="18"/>
                <w:lang w:val="fr-FR"/>
              </w:rPr>
              <w:t xml:space="preserve"> </w:t>
            </w:r>
          </w:p>
        </w:tc>
      </w:tr>
      <w:tr w:rsidR="00252B9E" w:rsidRPr="00B9787C" w:rsidTr="00E91EBC">
        <w:tc>
          <w:tcPr>
            <w:tcW w:w="3936" w:type="dxa"/>
            <w:shd w:val="clear" w:color="auto" w:fill="EAF1DD"/>
            <w:tcMar>
              <w:top w:w="170" w:type="dxa"/>
              <w:bottom w:w="170" w:type="dxa"/>
            </w:tcMar>
            <w:vAlign w:val="center"/>
          </w:tcPr>
          <w:p w:rsidR="00252B9E" w:rsidRPr="00C006BC" w:rsidRDefault="00252B9E" w:rsidP="00E91EBC">
            <w:pPr>
              <w:rPr>
                <w:sz w:val="20"/>
                <w:lang w:val="fr-FR"/>
              </w:rPr>
            </w:pPr>
            <w:r w:rsidRPr="001A56E0">
              <w:rPr>
                <w:sz w:val="20"/>
                <w:lang w:val="fr-FR"/>
              </w:rPr>
              <w:t>Contexte</w:t>
            </w:r>
            <w:r w:rsidRPr="00017383">
              <w:rPr>
                <w:sz w:val="20"/>
                <w:lang w:val="fr-FR"/>
              </w:rPr>
              <w:t xml:space="preserve"> humanitaire</w:t>
            </w:r>
            <w:r w:rsidRPr="00C006BC">
              <w:rPr>
                <w:sz w:val="20"/>
                <w:lang w:val="fr-FR"/>
              </w:rPr>
              <w:t xml:space="preserve"> de</w:t>
            </w:r>
            <w:r w:rsidRPr="00017383">
              <w:rPr>
                <w:sz w:val="20"/>
                <w:lang w:val="fr-WINDIES"/>
              </w:rPr>
              <w:t xml:space="preserve"> l’action</w:t>
            </w:r>
            <w:r w:rsidRPr="00C006BC">
              <w:rPr>
                <w:sz w:val="20"/>
                <w:lang w:val="fr-FR"/>
              </w:rPr>
              <w:t xml:space="preserve"> </w:t>
            </w:r>
          </w:p>
          <w:p w:rsidR="00252B9E" w:rsidRPr="00C006BC" w:rsidRDefault="00252B9E" w:rsidP="00E91EBC">
            <w:pPr>
              <w:rPr>
                <w:sz w:val="20"/>
                <w:lang w:val="fr-FR"/>
              </w:rPr>
            </w:pPr>
            <w:r w:rsidRPr="001A56E0">
              <w:rPr>
                <w:sz w:val="20"/>
                <w:lang w:val="fr-FR"/>
              </w:rPr>
              <w:t>(Urgence</w:t>
            </w:r>
            <w:r w:rsidR="009E4480">
              <w:rPr>
                <w:sz w:val="20"/>
                <w:lang w:val="fr-FR"/>
              </w:rPr>
              <w:t>, Ré</w:t>
            </w:r>
            <w:r w:rsidRPr="00C006BC">
              <w:rPr>
                <w:sz w:val="20"/>
                <w:lang w:val="fr-FR"/>
              </w:rPr>
              <w:t>habilitation,</w:t>
            </w:r>
            <w:r w:rsidRPr="00017383">
              <w:rPr>
                <w:sz w:val="20"/>
                <w:lang w:val="fr-WINDIES"/>
              </w:rPr>
              <w:t xml:space="preserve"> autres</w:t>
            </w:r>
            <w:r w:rsidRPr="00C006BC">
              <w:rPr>
                <w:sz w:val="20"/>
                <w:lang w:val="fr-FR"/>
              </w:rPr>
              <w:t xml:space="preserve"> ?), </w:t>
            </w:r>
          </w:p>
        </w:tc>
        <w:tc>
          <w:tcPr>
            <w:tcW w:w="6662" w:type="dxa"/>
            <w:shd w:val="clear" w:color="auto" w:fill="EEECE1"/>
            <w:tcMar>
              <w:top w:w="170" w:type="dxa"/>
              <w:bottom w:w="170" w:type="dxa"/>
            </w:tcMar>
            <w:vAlign w:val="center"/>
          </w:tcPr>
          <w:p w:rsidR="00252B9E" w:rsidRDefault="00A20B20" w:rsidP="00E91EBC">
            <w:pPr>
              <w:rPr>
                <w:color w:val="000000"/>
                <w:sz w:val="18"/>
                <w:lang w:val="fr-FR"/>
              </w:rPr>
            </w:pPr>
            <w:r>
              <w:rPr>
                <w:color w:val="000000"/>
                <w:sz w:val="18"/>
                <w:lang w:val="fr-FR"/>
              </w:rPr>
              <w:t xml:space="preserve">Crise chronique </w:t>
            </w:r>
          </w:p>
          <w:p w:rsidR="00DE6730" w:rsidRDefault="00DE6730" w:rsidP="00E91EBC">
            <w:pPr>
              <w:rPr>
                <w:color w:val="000000"/>
                <w:sz w:val="18"/>
                <w:lang w:val="fr-FR"/>
              </w:rPr>
            </w:pPr>
          </w:p>
          <w:p w:rsidR="00DE6730" w:rsidRDefault="00DE6730" w:rsidP="00E91EBC">
            <w:pPr>
              <w:rPr>
                <w:color w:val="000000"/>
                <w:sz w:val="18"/>
                <w:lang w:val="fr-FR"/>
              </w:rPr>
            </w:pPr>
            <w:r w:rsidRPr="00DE6730">
              <w:rPr>
                <w:color w:val="000000"/>
                <w:sz w:val="18"/>
                <w:lang w:val="fr-FR"/>
              </w:rPr>
              <w:t>L’insécurité alimentaire en Mauritanie est structurelle et en croissance. Cette tendance s’explique par une combinaison de facteurs dont la fragilité des systèmes de production, la dépendance aux importations (70% des besoins alimentaires), la fluctuation des prix des denrées, la fréquence en hausse des épisodes de sécheresse.</w:t>
            </w:r>
          </w:p>
          <w:p w:rsidR="00DE6730" w:rsidRPr="00C006BC" w:rsidRDefault="00DE6730" w:rsidP="00E91EBC">
            <w:pPr>
              <w:rPr>
                <w:color w:val="000000"/>
                <w:sz w:val="18"/>
                <w:lang w:val="fr-FR"/>
              </w:rPr>
            </w:pPr>
            <w:r w:rsidRPr="00DE6730">
              <w:rPr>
                <w:color w:val="000000"/>
                <w:sz w:val="18"/>
                <w:lang w:val="fr-FR"/>
              </w:rPr>
              <w:t>Dans ce contexte le Croissant-Rouge mauritanien et la Croix-Rouge français</w:t>
            </w:r>
            <w:r w:rsidR="00C206C3">
              <w:rPr>
                <w:color w:val="000000"/>
                <w:sz w:val="18"/>
                <w:lang w:val="fr-FR"/>
              </w:rPr>
              <w:t xml:space="preserve">e, en complément de programmes </w:t>
            </w:r>
            <w:r w:rsidRPr="00DE6730">
              <w:rPr>
                <w:color w:val="000000"/>
                <w:sz w:val="18"/>
                <w:lang w:val="fr-FR"/>
              </w:rPr>
              <w:t xml:space="preserve">de prise en charge de la malnutrition et de soutien agricole, ont mis en place avec l’appui de l’Union Européenne un projet qui mobilise l’outil du transfert monétaire inconditionnel, ciblant </w:t>
            </w:r>
            <w:r w:rsidR="00C206C3">
              <w:rPr>
                <w:color w:val="000000"/>
                <w:sz w:val="18"/>
                <w:lang w:val="fr-FR"/>
              </w:rPr>
              <w:t>les ménages les plus pauvres</w:t>
            </w:r>
            <w:r w:rsidRPr="00DE6730">
              <w:rPr>
                <w:color w:val="000000"/>
                <w:sz w:val="18"/>
                <w:lang w:val="fr-FR"/>
              </w:rPr>
              <w:t xml:space="preserve"> et qui leur laisse la possibilité d’utiliser l’argent selon leurs besoins spécifiques. </w:t>
            </w:r>
          </w:p>
        </w:tc>
      </w:tr>
      <w:tr w:rsidR="009E4480" w:rsidRPr="00B9787C" w:rsidTr="00E91EBC">
        <w:tc>
          <w:tcPr>
            <w:tcW w:w="3936" w:type="dxa"/>
            <w:shd w:val="clear" w:color="auto" w:fill="EAF1DD"/>
            <w:tcMar>
              <w:top w:w="170" w:type="dxa"/>
              <w:bottom w:w="170" w:type="dxa"/>
            </w:tcMar>
            <w:vAlign w:val="center"/>
          </w:tcPr>
          <w:p w:rsidR="009E4480" w:rsidRDefault="009E4480" w:rsidP="00E91EBC">
            <w:pPr>
              <w:rPr>
                <w:sz w:val="20"/>
                <w:lang w:val="fr-FR"/>
              </w:rPr>
            </w:pPr>
            <w:r>
              <w:rPr>
                <w:sz w:val="20"/>
                <w:lang w:val="fr-FR"/>
              </w:rPr>
              <w:t xml:space="preserve">Type(s) de Chocs/crises (Conflit, Crise politique, inondation, sècheresse, prix, criquets, MAG, </w:t>
            </w:r>
            <w:r w:rsidR="00043FAF">
              <w:rPr>
                <w:sz w:val="20"/>
                <w:lang w:val="fr-FR"/>
              </w:rPr>
              <w:t>Choléra</w:t>
            </w:r>
            <w:r>
              <w:rPr>
                <w:sz w:val="20"/>
                <w:lang w:val="fr-FR"/>
              </w:rPr>
              <w:t xml:space="preserve">, </w:t>
            </w:r>
            <w:proofErr w:type="spellStart"/>
            <w:r>
              <w:rPr>
                <w:sz w:val="20"/>
                <w:lang w:val="fr-FR"/>
              </w:rPr>
              <w:t>ect</w:t>
            </w:r>
            <w:proofErr w:type="spellEnd"/>
            <w:r>
              <w:rPr>
                <w:sz w:val="20"/>
                <w:lang w:val="fr-FR"/>
              </w:rPr>
              <w:t>)</w:t>
            </w:r>
          </w:p>
        </w:tc>
        <w:tc>
          <w:tcPr>
            <w:tcW w:w="6662" w:type="dxa"/>
            <w:shd w:val="clear" w:color="auto" w:fill="EEECE1"/>
            <w:tcMar>
              <w:top w:w="170" w:type="dxa"/>
              <w:bottom w:w="170" w:type="dxa"/>
            </w:tcMar>
            <w:vAlign w:val="center"/>
          </w:tcPr>
          <w:p w:rsidR="009E4480" w:rsidRPr="00017383" w:rsidRDefault="00A20B20" w:rsidP="00E91EBC">
            <w:pPr>
              <w:rPr>
                <w:color w:val="000000"/>
                <w:sz w:val="18"/>
                <w:lang w:val="fr-FR"/>
              </w:rPr>
            </w:pPr>
            <w:r>
              <w:rPr>
                <w:color w:val="000000"/>
                <w:sz w:val="18"/>
                <w:lang w:val="fr-FR"/>
              </w:rPr>
              <w:t>Ampleur et sévérité</w:t>
            </w:r>
            <w:r w:rsidR="00C45F1B">
              <w:rPr>
                <w:color w:val="000000"/>
                <w:sz w:val="18"/>
                <w:lang w:val="fr-FR"/>
              </w:rPr>
              <w:t xml:space="preserve"> de la période de soudure accru</w:t>
            </w:r>
            <w:r>
              <w:rPr>
                <w:color w:val="000000"/>
                <w:sz w:val="18"/>
                <w:lang w:val="fr-FR"/>
              </w:rPr>
              <w:t>s suite à un</w:t>
            </w:r>
            <w:r w:rsidR="00013FC3">
              <w:rPr>
                <w:color w:val="000000"/>
                <w:sz w:val="18"/>
                <w:lang w:val="fr-FR"/>
              </w:rPr>
              <w:t>e</w:t>
            </w:r>
            <w:r>
              <w:rPr>
                <w:color w:val="000000"/>
                <w:sz w:val="18"/>
                <w:lang w:val="fr-FR"/>
              </w:rPr>
              <w:t xml:space="preserve"> mauvais</w:t>
            </w:r>
            <w:r w:rsidR="00013FC3">
              <w:rPr>
                <w:color w:val="000000"/>
                <w:sz w:val="18"/>
                <w:lang w:val="fr-FR"/>
              </w:rPr>
              <w:t>e saison d’</w:t>
            </w:r>
            <w:r>
              <w:rPr>
                <w:color w:val="000000"/>
                <w:sz w:val="18"/>
                <w:lang w:val="fr-FR"/>
              </w:rPr>
              <w:t xml:space="preserve">hivernage </w:t>
            </w:r>
          </w:p>
        </w:tc>
      </w:tr>
      <w:tr w:rsidR="00252B9E" w:rsidRPr="00B9787C" w:rsidTr="00E91EBC">
        <w:tc>
          <w:tcPr>
            <w:tcW w:w="3936" w:type="dxa"/>
            <w:shd w:val="clear" w:color="auto" w:fill="EAF1DD"/>
            <w:tcMar>
              <w:top w:w="170" w:type="dxa"/>
              <w:bottom w:w="170" w:type="dxa"/>
            </w:tcMar>
            <w:vAlign w:val="center"/>
          </w:tcPr>
          <w:p w:rsidR="00252B9E" w:rsidRPr="001A56E0" w:rsidRDefault="00252B9E" w:rsidP="00E91EBC">
            <w:pPr>
              <w:rPr>
                <w:sz w:val="20"/>
                <w:lang w:val="fr-FR"/>
              </w:rPr>
            </w:pPr>
            <w:r>
              <w:rPr>
                <w:sz w:val="20"/>
                <w:lang w:val="fr-FR"/>
              </w:rPr>
              <w:t xml:space="preserve">Type de contexte (urbain, rural, </w:t>
            </w:r>
            <w:r w:rsidR="009E4480">
              <w:rPr>
                <w:sz w:val="20"/>
                <w:lang w:val="fr-FR"/>
              </w:rPr>
              <w:t xml:space="preserve">Camps/déplacés, </w:t>
            </w:r>
            <w:r>
              <w:rPr>
                <w:sz w:val="20"/>
                <w:lang w:val="fr-FR"/>
              </w:rPr>
              <w:t>mixte</w:t>
            </w:r>
            <w:r w:rsidR="009E4480">
              <w:rPr>
                <w:sz w:val="20"/>
                <w:lang w:val="fr-FR"/>
              </w:rPr>
              <w:t xml:space="preserve"> (précisez)</w:t>
            </w:r>
            <w:r>
              <w:rPr>
                <w:sz w:val="20"/>
                <w:lang w:val="fr-FR"/>
              </w:rPr>
              <w:t>)</w:t>
            </w:r>
          </w:p>
        </w:tc>
        <w:tc>
          <w:tcPr>
            <w:tcW w:w="6662" w:type="dxa"/>
            <w:shd w:val="clear" w:color="auto" w:fill="EEECE1"/>
            <w:tcMar>
              <w:top w:w="170" w:type="dxa"/>
              <w:bottom w:w="170" w:type="dxa"/>
            </w:tcMar>
            <w:vAlign w:val="center"/>
          </w:tcPr>
          <w:p w:rsidR="00252B9E" w:rsidRPr="00017383" w:rsidRDefault="00A20B20" w:rsidP="00E91EBC">
            <w:pPr>
              <w:rPr>
                <w:color w:val="000000"/>
                <w:sz w:val="18"/>
                <w:lang w:val="fr-FR"/>
              </w:rPr>
            </w:pPr>
            <w:r>
              <w:rPr>
                <w:color w:val="000000"/>
                <w:sz w:val="18"/>
                <w:lang w:val="fr-FR"/>
              </w:rPr>
              <w:t>Rural</w:t>
            </w:r>
          </w:p>
        </w:tc>
      </w:tr>
      <w:tr w:rsidR="00C431D2" w:rsidRPr="00C431D2" w:rsidTr="00E91EBC">
        <w:tc>
          <w:tcPr>
            <w:tcW w:w="3936" w:type="dxa"/>
            <w:shd w:val="clear" w:color="auto" w:fill="EAF1DD"/>
            <w:tcMar>
              <w:top w:w="170" w:type="dxa"/>
              <w:bottom w:w="170" w:type="dxa"/>
            </w:tcMar>
            <w:vAlign w:val="center"/>
          </w:tcPr>
          <w:p w:rsidR="00C431D2" w:rsidRDefault="00C431D2" w:rsidP="00E91EBC">
            <w:pPr>
              <w:rPr>
                <w:sz w:val="20"/>
                <w:lang w:val="fr-FR"/>
              </w:rPr>
            </w:pPr>
            <w:r>
              <w:rPr>
                <w:sz w:val="20"/>
                <w:lang w:val="fr-FR"/>
              </w:rPr>
              <w:t>Secteur principal</w:t>
            </w:r>
          </w:p>
        </w:tc>
        <w:tc>
          <w:tcPr>
            <w:tcW w:w="6662" w:type="dxa"/>
            <w:shd w:val="clear" w:color="auto" w:fill="EEECE1"/>
            <w:tcMar>
              <w:top w:w="170" w:type="dxa"/>
              <w:bottom w:w="170" w:type="dxa"/>
            </w:tcMar>
            <w:vAlign w:val="center"/>
          </w:tcPr>
          <w:p w:rsidR="00C431D2" w:rsidRPr="00017383" w:rsidRDefault="00A20B20" w:rsidP="00E91EBC">
            <w:pPr>
              <w:rPr>
                <w:color w:val="000000"/>
                <w:sz w:val="18"/>
                <w:lang w:val="fr-FR"/>
              </w:rPr>
            </w:pPr>
            <w:r>
              <w:rPr>
                <w:color w:val="000000"/>
                <w:sz w:val="18"/>
                <w:lang w:val="fr-FR"/>
              </w:rPr>
              <w:t xml:space="preserve">Sécurité alimentaire et économique </w:t>
            </w:r>
          </w:p>
        </w:tc>
      </w:tr>
      <w:tr w:rsidR="00C87392" w:rsidRPr="00B9787C" w:rsidTr="00E91EBC">
        <w:tc>
          <w:tcPr>
            <w:tcW w:w="3936" w:type="dxa"/>
            <w:shd w:val="clear" w:color="auto" w:fill="EAF1DD"/>
            <w:tcMar>
              <w:top w:w="170" w:type="dxa"/>
              <w:bottom w:w="170" w:type="dxa"/>
            </w:tcMar>
            <w:vAlign w:val="center"/>
          </w:tcPr>
          <w:p w:rsidR="00C87392" w:rsidRPr="00017383" w:rsidRDefault="00C87392" w:rsidP="00E91EBC">
            <w:pPr>
              <w:rPr>
                <w:sz w:val="20"/>
                <w:lang w:val="fr-WINDIES"/>
              </w:rPr>
            </w:pPr>
            <w:r>
              <w:rPr>
                <w:sz w:val="20"/>
                <w:lang w:val="fr-WINDIES"/>
              </w:rPr>
              <w:t>Secteur secondaire</w:t>
            </w:r>
          </w:p>
        </w:tc>
        <w:tc>
          <w:tcPr>
            <w:tcW w:w="6662" w:type="dxa"/>
            <w:shd w:val="clear" w:color="auto" w:fill="EEECE1"/>
            <w:tcMar>
              <w:top w:w="170" w:type="dxa"/>
              <w:bottom w:w="170" w:type="dxa"/>
            </w:tcMar>
            <w:vAlign w:val="center"/>
          </w:tcPr>
          <w:p w:rsidR="00C87392" w:rsidRPr="00C431D2" w:rsidRDefault="00C45F1B" w:rsidP="00E91EBC">
            <w:pPr>
              <w:rPr>
                <w:color w:val="000000"/>
                <w:sz w:val="18"/>
                <w:lang w:val="fr-FR"/>
              </w:rPr>
            </w:pPr>
            <w:r>
              <w:rPr>
                <w:color w:val="000000"/>
                <w:sz w:val="18"/>
                <w:lang w:val="fr-FR"/>
              </w:rPr>
              <w:t xml:space="preserve">Social </w:t>
            </w:r>
            <w:r w:rsidR="00A20B20">
              <w:rPr>
                <w:color w:val="000000"/>
                <w:sz w:val="18"/>
                <w:lang w:val="fr-FR"/>
              </w:rPr>
              <w:t xml:space="preserve"> </w:t>
            </w:r>
          </w:p>
        </w:tc>
      </w:tr>
      <w:tr w:rsidR="00252B9E" w:rsidRPr="00B9787C" w:rsidTr="00E91EBC">
        <w:tc>
          <w:tcPr>
            <w:tcW w:w="3936" w:type="dxa"/>
            <w:shd w:val="clear" w:color="auto" w:fill="EAF1DD"/>
            <w:tcMar>
              <w:top w:w="170" w:type="dxa"/>
              <w:bottom w:w="170" w:type="dxa"/>
            </w:tcMar>
            <w:vAlign w:val="center"/>
          </w:tcPr>
          <w:p w:rsidR="00252B9E" w:rsidRPr="00C431D2" w:rsidRDefault="00252B9E" w:rsidP="00E91EBC">
            <w:pPr>
              <w:rPr>
                <w:sz w:val="20"/>
                <w:lang w:val="fr-FR"/>
              </w:rPr>
            </w:pPr>
            <w:r w:rsidRPr="00017383">
              <w:rPr>
                <w:sz w:val="20"/>
                <w:lang w:val="fr-WINDIES"/>
              </w:rPr>
              <w:t>Période</w:t>
            </w:r>
            <w:r w:rsidR="00C431D2">
              <w:rPr>
                <w:sz w:val="20"/>
                <w:lang w:val="fr-WINDIES"/>
              </w:rPr>
              <w:t xml:space="preserve"> de mise en </w:t>
            </w:r>
            <w:r w:rsidR="00C87392">
              <w:rPr>
                <w:sz w:val="20"/>
                <w:lang w:val="fr-WINDIES"/>
              </w:rPr>
              <w:t>œuvre</w:t>
            </w:r>
          </w:p>
        </w:tc>
        <w:tc>
          <w:tcPr>
            <w:tcW w:w="6662" w:type="dxa"/>
            <w:shd w:val="clear" w:color="auto" w:fill="EEECE1"/>
            <w:tcMar>
              <w:top w:w="170" w:type="dxa"/>
              <w:bottom w:w="170" w:type="dxa"/>
            </w:tcMar>
            <w:vAlign w:val="center"/>
          </w:tcPr>
          <w:p w:rsidR="00A20B20" w:rsidRDefault="00A20B20" w:rsidP="00E91EBC">
            <w:pPr>
              <w:rPr>
                <w:color w:val="000000"/>
                <w:sz w:val="18"/>
                <w:lang w:val="fr-FR"/>
              </w:rPr>
            </w:pPr>
            <w:r>
              <w:rPr>
                <w:color w:val="000000"/>
                <w:sz w:val="18"/>
                <w:lang w:val="fr-FR"/>
              </w:rPr>
              <w:t xml:space="preserve">Projet de 24 mois (aout 2011 – juillet 2013) </w:t>
            </w:r>
          </w:p>
          <w:p w:rsidR="00252B9E" w:rsidRPr="00C431D2" w:rsidRDefault="00A20B20" w:rsidP="00E91EBC">
            <w:pPr>
              <w:rPr>
                <w:color w:val="000000"/>
                <w:sz w:val="18"/>
                <w:lang w:val="fr-FR"/>
              </w:rPr>
            </w:pPr>
            <w:r>
              <w:rPr>
                <w:color w:val="000000"/>
                <w:sz w:val="18"/>
                <w:lang w:val="fr-FR"/>
              </w:rPr>
              <w:t xml:space="preserve">Transfert monétaire de 6 mois (mai 2012 à octobre 2012) </w:t>
            </w:r>
          </w:p>
        </w:tc>
      </w:tr>
      <w:tr w:rsidR="00252B9E" w:rsidRPr="00B9787C" w:rsidTr="00E91EBC">
        <w:tc>
          <w:tcPr>
            <w:tcW w:w="3936" w:type="dxa"/>
            <w:shd w:val="clear" w:color="auto" w:fill="EAF1DD"/>
            <w:tcMar>
              <w:top w:w="170" w:type="dxa"/>
              <w:bottom w:w="170" w:type="dxa"/>
            </w:tcMar>
            <w:vAlign w:val="center"/>
          </w:tcPr>
          <w:p w:rsidR="00252B9E" w:rsidRPr="00017383" w:rsidRDefault="00252B9E" w:rsidP="00C87392">
            <w:pPr>
              <w:rPr>
                <w:sz w:val="20"/>
                <w:lang w:val="fr-FR"/>
              </w:rPr>
            </w:pPr>
            <w:r w:rsidRPr="00017383">
              <w:rPr>
                <w:sz w:val="20"/>
                <w:lang w:val="fr-FR"/>
              </w:rPr>
              <w:t xml:space="preserve">Titre du projet </w:t>
            </w:r>
            <w:r>
              <w:rPr>
                <w:sz w:val="20"/>
                <w:lang w:val="fr-FR"/>
              </w:rPr>
              <w:t>(</w:t>
            </w:r>
            <w:r w:rsidRPr="00017383">
              <w:rPr>
                <w:sz w:val="20"/>
                <w:lang w:val="fr-FR"/>
              </w:rPr>
              <w:t>et bailleur)</w:t>
            </w:r>
          </w:p>
        </w:tc>
        <w:tc>
          <w:tcPr>
            <w:tcW w:w="6662" w:type="dxa"/>
            <w:shd w:val="clear" w:color="auto" w:fill="EEECE1"/>
            <w:tcMar>
              <w:top w:w="170" w:type="dxa"/>
              <w:bottom w:w="170" w:type="dxa"/>
            </w:tcMar>
            <w:vAlign w:val="center"/>
          </w:tcPr>
          <w:p w:rsidR="00013FC3" w:rsidRDefault="00013FC3" w:rsidP="00E91EBC">
            <w:pPr>
              <w:rPr>
                <w:color w:val="000000"/>
                <w:sz w:val="18"/>
                <w:lang w:val="fr-FR"/>
              </w:rPr>
            </w:pPr>
            <w:r w:rsidRPr="00013FC3">
              <w:rPr>
                <w:color w:val="000000"/>
                <w:sz w:val="18"/>
                <w:lang w:val="fr-FR"/>
              </w:rPr>
              <w:t xml:space="preserve">Initiative de lutte contre la pauvreté au travers du transfert d’argent aux populations vulnérables de la Wilaya du </w:t>
            </w:r>
            <w:proofErr w:type="spellStart"/>
            <w:r w:rsidRPr="00013FC3">
              <w:rPr>
                <w:color w:val="000000"/>
                <w:sz w:val="18"/>
                <w:lang w:val="fr-FR"/>
              </w:rPr>
              <w:t>Gorgol</w:t>
            </w:r>
            <w:proofErr w:type="spellEnd"/>
            <w:r w:rsidRPr="00013FC3">
              <w:rPr>
                <w:color w:val="000000"/>
                <w:sz w:val="18"/>
                <w:lang w:val="fr-FR"/>
              </w:rPr>
              <w:t xml:space="preserve"> en Répub</w:t>
            </w:r>
            <w:r>
              <w:rPr>
                <w:color w:val="000000"/>
                <w:sz w:val="18"/>
                <w:lang w:val="fr-FR"/>
              </w:rPr>
              <w:t xml:space="preserve">lique Islamique de Mauritanie </w:t>
            </w:r>
          </w:p>
          <w:p w:rsidR="00013FC3" w:rsidRDefault="00C45F1B" w:rsidP="00E91EBC">
            <w:pPr>
              <w:rPr>
                <w:color w:val="000000"/>
                <w:sz w:val="18"/>
                <w:lang w:val="fr-FR"/>
              </w:rPr>
            </w:pPr>
            <w:r>
              <w:rPr>
                <w:color w:val="000000"/>
                <w:sz w:val="18"/>
                <w:lang w:val="fr-FR"/>
              </w:rPr>
              <w:t>Transferts Economiques et S</w:t>
            </w:r>
            <w:r w:rsidR="00013FC3" w:rsidRPr="00013FC3">
              <w:rPr>
                <w:color w:val="000000"/>
                <w:sz w:val="18"/>
                <w:lang w:val="fr-FR"/>
              </w:rPr>
              <w:t>ociaux (TES en abrég</w:t>
            </w:r>
            <w:r w:rsidR="001667FF">
              <w:rPr>
                <w:color w:val="000000"/>
                <w:sz w:val="18"/>
                <w:lang w:val="fr-FR"/>
              </w:rPr>
              <w:t>é</w:t>
            </w:r>
            <w:r>
              <w:rPr>
                <w:color w:val="000000"/>
                <w:sz w:val="18"/>
                <w:lang w:val="fr-FR"/>
              </w:rPr>
              <w:t>)</w:t>
            </w:r>
          </w:p>
          <w:p w:rsidR="00252B9E" w:rsidRPr="00017383" w:rsidRDefault="00013FC3" w:rsidP="00E91EBC">
            <w:pPr>
              <w:rPr>
                <w:color w:val="000000"/>
                <w:sz w:val="18"/>
                <w:lang w:val="fr-FR"/>
              </w:rPr>
            </w:pPr>
            <w:proofErr w:type="spellStart"/>
            <w:r>
              <w:rPr>
                <w:color w:val="000000"/>
                <w:sz w:val="18"/>
                <w:lang w:val="fr-FR"/>
              </w:rPr>
              <w:t>EuropeAid</w:t>
            </w:r>
            <w:proofErr w:type="spellEnd"/>
            <w:r>
              <w:rPr>
                <w:color w:val="000000"/>
                <w:sz w:val="18"/>
                <w:lang w:val="fr-FR"/>
              </w:rPr>
              <w:t xml:space="preserve"> (DEVCO) – Croix Rouge française </w:t>
            </w:r>
          </w:p>
        </w:tc>
      </w:tr>
      <w:tr w:rsidR="00C431D2" w:rsidRPr="00B9787C" w:rsidTr="00E91EBC">
        <w:tc>
          <w:tcPr>
            <w:tcW w:w="3936" w:type="dxa"/>
            <w:shd w:val="clear" w:color="auto" w:fill="EAF1DD"/>
            <w:tcMar>
              <w:top w:w="170" w:type="dxa"/>
              <w:bottom w:w="170" w:type="dxa"/>
            </w:tcMar>
            <w:vAlign w:val="center"/>
          </w:tcPr>
          <w:p w:rsidR="00C431D2" w:rsidRPr="00017383" w:rsidRDefault="00C431D2" w:rsidP="00E91EBC">
            <w:pPr>
              <w:rPr>
                <w:sz w:val="20"/>
                <w:lang w:val="fr-FR"/>
              </w:rPr>
            </w:pPr>
            <w:r>
              <w:rPr>
                <w:sz w:val="20"/>
                <w:lang w:val="fr-FR"/>
              </w:rPr>
              <w:t>Partenaires de mise en œuvre</w:t>
            </w:r>
          </w:p>
        </w:tc>
        <w:tc>
          <w:tcPr>
            <w:tcW w:w="6662" w:type="dxa"/>
            <w:shd w:val="clear" w:color="auto" w:fill="EEECE1"/>
            <w:tcMar>
              <w:top w:w="170" w:type="dxa"/>
              <w:bottom w:w="170" w:type="dxa"/>
            </w:tcMar>
            <w:vAlign w:val="center"/>
          </w:tcPr>
          <w:p w:rsidR="00C431D2" w:rsidRDefault="00A20B20" w:rsidP="00E91EBC">
            <w:pPr>
              <w:rPr>
                <w:color w:val="000000"/>
                <w:sz w:val="18"/>
                <w:lang w:val="fr-FR"/>
              </w:rPr>
            </w:pPr>
            <w:r>
              <w:rPr>
                <w:color w:val="000000"/>
                <w:sz w:val="18"/>
                <w:lang w:val="fr-FR"/>
              </w:rPr>
              <w:t>Croissant Rouge mauritanien (CRM)</w:t>
            </w:r>
          </w:p>
          <w:p w:rsidR="00A20B20" w:rsidRPr="00017383" w:rsidRDefault="00013FC3" w:rsidP="00E91EBC">
            <w:pPr>
              <w:rPr>
                <w:color w:val="000000"/>
                <w:sz w:val="18"/>
                <w:lang w:val="fr-FR"/>
              </w:rPr>
            </w:pPr>
            <w:r>
              <w:rPr>
                <w:color w:val="000000"/>
                <w:sz w:val="18"/>
                <w:lang w:val="fr-FR"/>
              </w:rPr>
              <w:lastRenderedPageBreak/>
              <w:t xml:space="preserve">Montpellier </w:t>
            </w:r>
            <w:proofErr w:type="spellStart"/>
            <w:r>
              <w:rPr>
                <w:color w:val="000000"/>
                <w:sz w:val="18"/>
                <w:lang w:val="fr-FR"/>
              </w:rPr>
              <w:t>SupAgro</w:t>
            </w:r>
            <w:proofErr w:type="spellEnd"/>
            <w:r>
              <w:rPr>
                <w:color w:val="000000"/>
                <w:sz w:val="18"/>
                <w:lang w:val="fr-FR"/>
              </w:rPr>
              <w:t xml:space="preserve"> / </w:t>
            </w:r>
            <w:r w:rsidR="00A20B20">
              <w:rPr>
                <w:color w:val="000000"/>
                <w:sz w:val="18"/>
                <w:lang w:val="fr-FR"/>
              </w:rPr>
              <w:t>Ins</w:t>
            </w:r>
            <w:r>
              <w:rPr>
                <w:color w:val="000000"/>
                <w:sz w:val="18"/>
                <w:lang w:val="fr-FR"/>
              </w:rPr>
              <w:t>titut des Régions Chaudes (IRC)</w:t>
            </w:r>
          </w:p>
        </w:tc>
      </w:tr>
      <w:tr w:rsidR="00252B9E" w:rsidRPr="009C31AB" w:rsidTr="00E91EBC">
        <w:tc>
          <w:tcPr>
            <w:tcW w:w="3936" w:type="dxa"/>
            <w:shd w:val="clear" w:color="auto" w:fill="EAF1DD"/>
            <w:tcMar>
              <w:top w:w="170" w:type="dxa"/>
              <w:bottom w:w="170" w:type="dxa"/>
            </w:tcMar>
            <w:vAlign w:val="center"/>
          </w:tcPr>
          <w:p w:rsidR="00252B9E" w:rsidRDefault="00C431D2" w:rsidP="00E91EBC">
            <w:pPr>
              <w:rPr>
                <w:sz w:val="20"/>
                <w:lang w:val="fr-FR"/>
              </w:rPr>
            </w:pPr>
            <w:r w:rsidRPr="00017383">
              <w:rPr>
                <w:sz w:val="20"/>
                <w:lang w:val="fr-FR"/>
              </w:rPr>
              <w:lastRenderedPageBreak/>
              <w:t>Bénéfi</w:t>
            </w:r>
            <w:r>
              <w:rPr>
                <w:sz w:val="20"/>
                <w:lang w:val="fr-FR"/>
              </w:rPr>
              <w:t>ci</w:t>
            </w:r>
            <w:r w:rsidRPr="00017383">
              <w:rPr>
                <w:sz w:val="20"/>
                <w:lang w:val="fr-FR"/>
              </w:rPr>
              <w:t>aires</w:t>
            </w:r>
            <w:r>
              <w:rPr>
                <w:sz w:val="20"/>
                <w:lang w:val="fr-FR"/>
              </w:rPr>
              <w:t xml:space="preserve"> (Nombre de </w:t>
            </w:r>
            <w:r w:rsidR="009F6D02">
              <w:rPr>
                <w:sz w:val="20"/>
                <w:lang w:val="fr-FR"/>
              </w:rPr>
              <w:t>ménages</w:t>
            </w:r>
            <w:r>
              <w:rPr>
                <w:sz w:val="20"/>
                <w:lang w:val="fr-FR"/>
              </w:rPr>
              <w:t>)</w:t>
            </w:r>
          </w:p>
        </w:tc>
        <w:tc>
          <w:tcPr>
            <w:tcW w:w="6662" w:type="dxa"/>
            <w:shd w:val="clear" w:color="auto" w:fill="EEECE1"/>
            <w:tcMar>
              <w:top w:w="170" w:type="dxa"/>
              <w:bottom w:w="170" w:type="dxa"/>
            </w:tcMar>
            <w:vAlign w:val="center"/>
          </w:tcPr>
          <w:p w:rsidR="00252B9E" w:rsidRPr="0059381A" w:rsidRDefault="00A20B20" w:rsidP="00E91EBC">
            <w:pPr>
              <w:rPr>
                <w:color w:val="000000"/>
                <w:sz w:val="18"/>
                <w:lang w:val="fr-FR"/>
              </w:rPr>
            </w:pPr>
            <w:r>
              <w:rPr>
                <w:color w:val="000000"/>
                <w:sz w:val="18"/>
                <w:lang w:val="fr-FR"/>
              </w:rPr>
              <w:t>501</w:t>
            </w:r>
          </w:p>
        </w:tc>
      </w:tr>
      <w:tr w:rsidR="00C87392" w:rsidRPr="00C431D2" w:rsidTr="00E91EBC">
        <w:tc>
          <w:tcPr>
            <w:tcW w:w="3936" w:type="dxa"/>
            <w:shd w:val="clear" w:color="auto" w:fill="EAF1DD"/>
            <w:tcMar>
              <w:top w:w="170" w:type="dxa"/>
              <w:bottom w:w="170" w:type="dxa"/>
            </w:tcMar>
            <w:vAlign w:val="center"/>
          </w:tcPr>
          <w:p w:rsidR="00C87392" w:rsidRDefault="00C87392" w:rsidP="00E91EBC">
            <w:pPr>
              <w:rPr>
                <w:sz w:val="20"/>
                <w:lang w:val="fr-WINDIES"/>
              </w:rPr>
            </w:pPr>
            <w:r>
              <w:rPr>
                <w:sz w:val="20"/>
                <w:lang w:val="fr-WINDIES"/>
              </w:rPr>
              <w:t>Groupe cible</w:t>
            </w:r>
          </w:p>
        </w:tc>
        <w:tc>
          <w:tcPr>
            <w:tcW w:w="6662" w:type="dxa"/>
            <w:shd w:val="clear" w:color="auto" w:fill="EEECE1"/>
            <w:tcMar>
              <w:top w:w="170" w:type="dxa"/>
              <w:bottom w:w="170" w:type="dxa"/>
            </w:tcMar>
            <w:vAlign w:val="center"/>
          </w:tcPr>
          <w:p w:rsidR="00C87392" w:rsidRPr="0059381A" w:rsidRDefault="00A20B20" w:rsidP="00E91EBC">
            <w:pPr>
              <w:rPr>
                <w:color w:val="000000"/>
                <w:sz w:val="18"/>
                <w:lang w:val="fr-FR"/>
              </w:rPr>
            </w:pPr>
            <w:r>
              <w:rPr>
                <w:color w:val="000000"/>
                <w:sz w:val="18"/>
                <w:lang w:val="fr-FR"/>
              </w:rPr>
              <w:t>Ménages pauvres</w:t>
            </w:r>
          </w:p>
        </w:tc>
      </w:tr>
      <w:tr w:rsidR="00C87392" w:rsidRPr="00C431D2" w:rsidTr="00E91EBC">
        <w:tc>
          <w:tcPr>
            <w:tcW w:w="3936" w:type="dxa"/>
            <w:shd w:val="clear" w:color="auto" w:fill="EAF1DD"/>
            <w:tcMar>
              <w:top w:w="170" w:type="dxa"/>
              <w:bottom w:w="170" w:type="dxa"/>
            </w:tcMar>
            <w:vAlign w:val="center"/>
          </w:tcPr>
          <w:p w:rsidR="00C87392" w:rsidRPr="00017383" w:rsidRDefault="00C87392" w:rsidP="00E91EBC">
            <w:pPr>
              <w:rPr>
                <w:sz w:val="20"/>
                <w:lang w:val="fr-WINDIES"/>
              </w:rPr>
            </w:pPr>
            <w:r>
              <w:rPr>
                <w:sz w:val="20"/>
                <w:lang w:val="fr-WINDIES"/>
              </w:rPr>
              <w:t>Type de Ciblage</w:t>
            </w:r>
          </w:p>
        </w:tc>
        <w:tc>
          <w:tcPr>
            <w:tcW w:w="6662" w:type="dxa"/>
            <w:shd w:val="clear" w:color="auto" w:fill="EEECE1"/>
            <w:tcMar>
              <w:top w:w="170" w:type="dxa"/>
              <w:bottom w:w="170" w:type="dxa"/>
            </w:tcMar>
            <w:vAlign w:val="center"/>
          </w:tcPr>
          <w:p w:rsidR="00C87392" w:rsidRPr="0059381A" w:rsidRDefault="00A20B20" w:rsidP="00E91EBC">
            <w:pPr>
              <w:rPr>
                <w:color w:val="000000"/>
                <w:sz w:val="18"/>
                <w:lang w:val="fr-FR"/>
              </w:rPr>
            </w:pPr>
            <w:r>
              <w:rPr>
                <w:color w:val="000000"/>
                <w:sz w:val="18"/>
                <w:lang w:val="fr-FR"/>
              </w:rPr>
              <w:t xml:space="preserve">Analyse socio-économique + communautaire  </w:t>
            </w:r>
          </w:p>
        </w:tc>
      </w:tr>
      <w:tr w:rsidR="00252B9E" w:rsidRPr="00C431D2" w:rsidTr="00E91EBC">
        <w:tc>
          <w:tcPr>
            <w:tcW w:w="3936" w:type="dxa"/>
            <w:shd w:val="clear" w:color="auto" w:fill="EAF1DD"/>
            <w:tcMar>
              <w:top w:w="170" w:type="dxa"/>
              <w:bottom w:w="170" w:type="dxa"/>
            </w:tcMar>
            <w:vAlign w:val="center"/>
          </w:tcPr>
          <w:p w:rsidR="00252B9E" w:rsidRPr="0059381A" w:rsidRDefault="00043FAF" w:rsidP="00E91EBC">
            <w:pPr>
              <w:rPr>
                <w:sz w:val="20"/>
                <w:lang w:val="fr-FR"/>
              </w:rPr>
            </w:pPr>
            <w:r>
              <w:rPr>
                <w:sz w:val="20"/>
                <w:lang w:val="fr-WINDIES"/>
              </w:rPr>
              <w:t>Types cash transferts (Cash, voucher, conditionnel, inconditionnel)</w:t>
            </w:r>
          </w:p>
        </w:tc>
        <w:tc>
          <w:tcPr>
            <w:tcW w:w="6662" w:type="dxa"/>
            <w:shd w:val="clear" w:color="auto" w:fill="EEECE1"/>
            <w:tcMar>
              <w:top w:w="170" w:type="dxa"/>
              <w:bottom w:w="170" w:type="dxa"/>
            </w:tcMar>
            <w:vAlign w:val="center"/>
          </w:tcPr>
          <w:p w:rsidR="00252B9E" w:rsidRPr="0059381A" w:rsidRDefault="00A20B20" w:rsidP="00E91EBC">
            <w:pPr>
              <w:rPr>
                <w:color w:val="000000"/>
                <w:sz w:val="18"/>
                <w:lang w:val="fr-FR"/>
              </w:rPr>
            </w:pPr>
            <w:r>
              <w:rPr>
                <w:color w:val="000000"/>
                <w:sz w:val="18"/>
                <w:lang w:val="fr-FR"/>
              </w:rPr>
              <w:t xml:space="preserve">Transfert monétaire inconditionnel </w:t>
            </w:r>
          </w:p>
        </w:tc>
      </w:tr>
      <w:tr w:rsidR="00252B9E" w:rsidRPr="00B9787C" w:rsidTr="00E91EBC">
        <w:tc>
          <w:tcPr>
            <w:tcW w:w="3936" w:type="dxa"/>
            <w:shd w:val="clear" w:color="auto" w:fill="EAF1DD"/>
            <w:tcMar>
              <w:top w:w="170" w:type="dxa"/>
              <w:bottom w:w="170" w:type="dxa"/>
            </w:tcMar>
            <w:vAlign w:val="center"/>
          </w:tcPr>
          <w:p w:rsidR="00252B9E" w:rsidRPr="00017383" w:rsidRDefault="00043FAF" w:rsidP="00E91EBC">
            <w:pPr>
              <w:rPr>
                <w:sz w:val="20"/>
                <w:lang w:val="fr-FR"/>
              </w:rPr>
            </w:pPr>
            <w:r>
              <w:rPr>
                <w:sz w:val="20"/>
                <w:lang w:val="fr-FR"/>
              </w:rPr>
              <w:t xml:space="preserve">Mécanismes de distribution (Direct, IMF, Banque, commerçants, Tél., </w:t>
            </w:r>
            <w:proofErr w:type="spellStart"/>
            <w:r>
              <w:rPr>
                <w:sz w:val="20"/>
                <w:lang w:val="fr-FR"/>
              </w:rPr>
              <w:t>ect</w:t>
            </w:r>
            <w:proofErr w:type="spellEnd"/>
            <w:r>
              <w:rPr>
                <w:sz w:val="20"/>
                <w:lang w:val="fr-FR"/>
              </w:rPr>
              <w:t>)</w:t>
            </w:r>
          </w:p>
        </w:tc>
        <w:tc>
          <w:tcPr>
            <w:tcW w:w="6662" w:type="dxa"/>
            <w:shd w:val="clear" w:color="auto" w:fill="EEECE1"/>
            <w:tcMar>
              <w:top w:w="170" w:type="dxa"/>
              <w:bottom w:w="170" w:type="dxa"/>
            </w:tcMar>
            <w:vAlign w:val="center"/>
          </w:tcPr>
          <w:p w:rsidR="00252B9E" w:rsidRPr="00017383" w:rsidRDefault="00013FC3" w:rsidP="00E91EBC">
            <w:pPr>
              <w:rPr>
                <w:color w:val="000000"/>
                <w:sz w:val="18"/>
                <w:lang w:val="fr-FR"/>
              </w:rPr>
            </w:pPr>
            <w:r>
              <w:rPr>
                <w:color w:val="000000"/>
                <w:sz w:val="18"/>
                <w:lang w:val="fr-FR"/>
              </w:rPr>
              <w:t>Direct</w:t>
            </w:r>
          </w:p>
        </w:tc>
      </w:tr>
      <w:tr w:rsidR="00043FAF" w:rsidRPr="00B9787C" w:rsidTr="00E91EBC">
        <w:tc>
          <w:tcPr>
            <w:tcW w:w="3936" w:type="dxa"/>
            <w:shd w:val="clear" w:color="auto" w:fill="EAF1DD"/>
            <w:tcMar>
              <w:top w:w="170" w:type="dxa"/>
              <w:bottom w:w="170" w:type="dxa"/>
            </w:tcMar>
            <w:vAlign w:val="center"/>
          </w:tcPr>
          <w:p w:rsidR="00043FAF" w:rsidRPr="00017383" w:rsidRDefault="00043FAF" w:rsidP="00043FAF">
            <w:pPr>
              <w:textAlignment w:val="top"/>
              <w:rPr>
                <w:sz w:val="20"/>
                <w:lang w:val="fr-FR"/>
              </w:rPr>
            </w:pPr>
            <w:r>
              <w:rPr>
                <w:sz w:val="20"/>
                <w:lang w:val="fr-FR"/>
              </w:rPr>
              <w:t>Mécanisme de plainte/</w:t>
            </w:r>
            <w:proofErr w:type="spellStart"/>
            <w:r>
              <w:rPr>
                <w:sz w:val="20"/>
                <w:lang w:val="fr-FR"/>
              </w:rPr>
              <w:t>redevabilité</w:t>
            </w:r>
            <w:proofErr w:type="spellEnd"/>
          </w:p>
        </w:tc>
        <w:tc>
          <w:tcPr>
            <w:tcW w:w="6662" w:type="dxa"/>
            <w:shd w:val="clear" w:color="auto" w:fill="EEECE1"/>
            <w:tcMar>
              <w:top w:w="170" w:type="dxa"/>
              <w:bottom w:w="170" w:type="dxa"/>
            </w:tcMar>
            <w:vAlign w:val="center"/>
          </w:tcPr>
          <w:p w:rsidR="00043FAF" w:rsidRPr="00017383" w:rsidRDefault="00013FC3" w:rsidP="00E91EBC">
            <w:pPr>
              <w:rPr>
                <w:color w:val="000000"/>
                <w:sz w:val="18"/>
                <w:lang w:val="fr-FR"/>
              </w:rPr>
            </w:pPr>
            <w:r>
              <w:rPr>
                <w:color w:val="000000"/>
                <w:sz w:val="18"/>
                <w:lang w:val="fr-FR"/>
              </w:rPr>
              <w:t xml:space="preserve">Non formalisé </w:t>
            </w:r>
          </w:p>
        </w:tc>
      </w:tr>
      <w:tr w:rsidR="00043FAF" w:rsidRPr="00B9787C" w:rsidTr="00E91EBC">
        <w:tc>
          <w:tcPr>
            <w:tcW w:w="3936" w:type="dxa"/>
            <w:shd w:val="clear" w:color="auto" w:fill="EAF1DD"/>
            <w:tcMar>
              <w:top w:w="170" w:type="dxa"/>
              <w:bottom w:w="170" w:type="dxa"/>
            </w:tcMar>
            <w:vAlign w:val="center"/>
          </w:tcPr>
          <w:p w:rsidR="00043FAF" w:rsidRPr="00017383" w:rsidRDefault="00043FAF" w:rsidP="00E91EBC">
            <w:pPr>
              <w:textAlignment w:val="top"/>
              <w:rPr>
                <w:sz w:val="20"/>
                <w:lang w:val="fr-FR"/>
              </w:rPr>
            </w:pPr>
            <w:r>
              <w:rPr>
                <w:sz w:val="20"/>
                <w:lang w:val="fr-FR"/>
              </w:rPr>
              <w:t>Prise en compte du genre</w:t>
            </w:r>
          </w:p>
        </w:tc>
        <w:tc>
          <w:tcPr>
            <w:tcW w:w="6662" w:type="dxa"/>
            <w:shd w:val="clear" w:color="auto" w:fill="EEECE1"/>
            <w:tcMar>
              <w:top w:w="170" w:type="dxa"/>
              <w:bottom w:w="170" w:type="dxa"/>
            </w:tcMar>
            <w:vAlign w:val="center"/>
          </w:tcPr>
          <w:p w:rsidR="00043FAF" w:rsidRPr="00017383" w:rsidRDefault="00013FC3" w:rsidP="00D97FF9">
            <w:pPr>
              <w:rPr>
                <w:color w:val="000000"/>
                <w:sz w:val="18"/>
                <w:lang w:val="fr-FR"/>
              </w:rPr>
            </w:pPr>
            <w:r>
              <w:rPr>
                <w:color w:val="000000"/>
                <w:sz w:val="18"/>
                <w:lang w:val="fr-FR"/>
              </w:rPr>
              <w:t xml:space="preserve">Pas directement mais </w:t>
            </w:r>
            <w:r w:rsidR="00D97FF9">
              <w:rPr>
                <w:color w:val="000000"/>
                <w:sz w:val="18"/>
                <w:lang w:val="fr-FR"/>
              </w:rPr>
              <w:t xml:space="preserve">l’étude socio-économique et de la vulnérabilité des ménages pauvres préalable à l’action avait montré que </w:t>
            </w:r>
            <w:r>
              <w:rPr>
                <w:color w:val="000000"/>
                <w:sz w:val="18"/>
                <w:lang w:val="fr-FR"/>
              </w:rPr>
              <w:t>de nombreux</w:t>
            </w:r>
            <w:r w:rsidR="00C45F1B">
              <w:rPr>
                <w:color w:val="000000"/>
                <w:sz w:val="18"/>
                <w:lang w:val="fr-FR"/>
              </w:rPr>
              <w:t xml:space="preserve"> ménages pauvres et dépourvu</w:t>
            </w:r>
            <w:r w:rsidR="00D97FF9">
              <w:rPr>
                <w:color w:val="000000"/>
                <w:sz w:val="18"/>
                <w:lang w:val="fr-FR"/>
              </w:rPr>
              <w:t xml:space="preserve">s d’actifs étaient ceux ayant une femme comme chef de ménage. </w:t>
            </w:r>
          </w:p>
        </w:tc>
      </w:tr>
      <w:tr w:rsidR="00252B9E" w:rsidRPr="00017383" w:rsidTr="00E91EBC">
        <w:tc>
          <w:tcPr>
            <w:tcW w:w="3936" w:type="dxa"/>
            <w:shd w:val="clear" w:color="auto" w:fill="EAF1DD"/>
            <w:tcMar>
              <w:top w:w="170" w:type="dxa"/>
              <w:bottom w:w="170" w:type="dxa"/>
            </w:tcMar>
            <w:vAlign w:val="center"/>
          </w:tcPr>
          <w:p w:rsidR="00252B9E" w:rsidRPr="00017383" w:rsidRDefault="00252B9E" w:rsidP="00E91EBC">
            <w:pPr>
              <w:rPr>
                <w:sz w:val="20"/>
                <w:lang w:val="fr-FR"/>
              </w:rPr>
            </w:pPr>
            <w:r w:rsidRPr="00017383">
              <w:rPr>
                <w:sz w:val="20"/>
                <w:lang w:val="fr-FR"/>
              </w:rPr>
              <w:t>Leçons apprises</w:t>
            </w:r>
            <w:r>
              <w:rPr>
                <w:sz w:val="20"/>
                <w:lang w:val="fr-FR"/>
              </w:rPr>
              <w:t xml:space="preserve"> </w:t>
            </w:r>
            <w:r w:rsidRPr="00017383">
              <w:rPr>
                <w:sz w:val="20"/>
                <w:lang w:val="fr-FR"/>
              </w:rPr>
              <w:t>:</w:t>
            </w:r>
          </w:p>
          <w:p w:rsidR="00252B9E" w:rsidRPr="00017383" w:rsidRDefault="00252B9E" w:rsidP="00E91EBC">
            <w:pPr>
              <w:rPr>
                <w:sz w:val="20"/>
                <w:lang w:val="fr-FR"/>
              </w:rPr>
            </w:pPr>
            <w:r w:rsidRPr="00017383">
              <w:rPr>
                <w:sz w:val="20"/>
                <w:lang w:val="fr-FR"/>
              </w:rPr>
              <w:t>Forces/atouts (+):</w:t>
            </w:r>
          </w:p>
          <w:p w:rsidR="00252B9E" w:rsidRPr="00017383" w:rsidRDefault="00252B9E" w:rsidP="00E91EBC">
            <w:pPr>
              <w:rPr>
                <w:sz w:val="20"/>
                <w:lang w:val="fr-FR"/>
              </w:rPr>
            </w:pPr>
            <w:r w:rsidRPr="00017383">
              <w:rPr>
                <w:sz w:val="20"/>
                <w:lang w:val="fr-FR"/>
              </w:rPr>
              <w:t>Faiblesses/</w:t>
            </w:r>
            <w:r w:rsidR="009D1605">
              <w:rPr>
                <w:sz w:val="20"/>
                <w:lang w:val="fr-FR"/>
              </w:rPr>
              <w:t>Difficultés/</w:t>
            </w:r>
            <w:r w:rsidRPr="00017383">
              <w:rPr>
                <w:sz w:val="20"/>
                <w:lang w:val="fr-FR"/>
              </w:rPr>
              <w:t>contraintes (-):</w:t>
            </w:r>
          </w:p>
        </w:tc>
        <w:tc>
          <w:tcPr>
            <w:tcW w:w="6662" w:type="dxa"/>
            <w:shd w:val="clear" w:color="auto" w:fill="EEECE1"/>
            <w:tcMar>
              <w:top w:w="170" w:type="dxa"/>
              <w:bottom w:w="170" w:type="dxa"/>
            </w:tcMar>
            <w:vAlign w:val="center"/>
          </w:tcPr>
          <w:p w:rsidR="00DE6730" w:rsidRPr="00DE6730" w:rsidRDefault="00DE6730" w:rsidP="00DE6730">
            <w:pPr>
              <w:rPr>
                <w:color w:val="000000"/>
                <w:sz w:val="18"/>
                <w:lang w:val="fr-FR"/>
              </w:rPr>
            </w:pPr>
            <w:r w:rsidRPr="00DE6730">
              <w:rPr>
                <w:color w:val="000000"/>
                <w:sz w:val="18"/>
                <w:lang w:val="fr-FR"/>
              </w:rPr>
              <w:t>Au-delà d’un objectif de réduction de l’insécurité alimentaire le projet s’inscrivait dans une démarche de recherche</w:t>
            </w:r>
            <w:r>
              <w:rPr>
                <w:color w:val="000000"/>
                <w:sz w:val="18"/>
                <w:lang w:val="fr-FR"/>
              </w:rPr>
              <w:t>-action sur l’efficacité de l’</w:t>
            </w:r>
            <w:r w:rsidRPr="00DE6730">
              <w:rPr>
                <w:color w:val="000000"/>
                <w:sz w:val="18"/>
                <w:lang w:val="fr-FR"/>
              </w:rPr>
              <w:t xml:space="preserve">outil </w:t>
            </w:r>
            <w:r>
              <w:rPr>
                <w:color w:val="000000"/>
                <w:sz w:val="18"/>
                <w:lang w:val="fr-FR"/>
              </w:rPr>
              <w:t>transfert monétaire.</w:t>
            </w:r>
            <w:r w:rsidRPr="00DE6730">
              <w:rPr>
                <w:color w:val="000000"/>
                <w:sz w:val="18"/>
                <w:lang w:val="fr-FR"/>
              </w:rPr>
              <w:t xml:space="preserve"> A cet effet un partenariat a été mis en place avec l’IRC Montpellier </w:t>
            </w:r>
            <w:proofErr w:type="spellStart"/>
            <w:r w:rsidRPr="00DE6730">
              <w:rPr>
                <w:color w:val="000000"/>
                <w:sz w:val="18"/>
                <w:lang w:val="fr-FR"/>
              </w:rPr>
              <w:t>Sup’agro</w:t>
            </w:r>
            <w:proofErr w:type="spellEnd"/>
            <w:r w:rsidRPr="00DE6730">
              <w:rPr>
                <w:color w:val="000000"/>
                <w:sz w:val="18"/>
                <w:lang w:val="fr-FR"/>
              </w:rPr>
              <w:t>, institution d’enseignement supérieur et de recherche scientifique appliquée spécialisée en développement rural.</w:t>
            </w:r>
            <w:r>
              <w:rPr>
                <w:color w:val="000000"/>
                <w:sz w:val="18"/>
                <w:lang w:val="fr-FR"/>
              </w:rPr>
              <w:t xml:space="preserve"> </w:t>
            </w:r>
            <w:r w:rsidRPr="00DE6730">
              <w:rPr>
                <w:color w:val="000000"/>
                <w:sz w:val="18"/>
                <w:lang w:val="fr-FR"/>
              </w:rPr>
              <w:t>Un protocole de recherche a été élaboré, intégrant un système de suivi évaluation conséquent dans lequel les volontaires du Croissant-Rouge mauritanien formés ont joué un rôle crucial. Une étude de la vulnérabilité à l’insécurité alimentaire des ménages pauvres a tout d’abord permis de définir les critères de ciblage (selon les zones agro-écologiques et les perceptions locales de la pauvreté) et les modalités du transfert (montant et fréquence). Le transfert a ensuite été effectué en 3 versements durant la période de soudure (</w:t>
            </w:r>
            <w:r>
              <w:rPr>
                <w:color w:val="000000"/>
                <w:sz w:val="18"/>
                <w:lang w:val="fr-FR"/>
              </w:rPr>
              <w:t xml:space="preserve">de mai à octobre </w:t>
            </w:r>
            <w:r w:rsidRPr="00DE6730">
              <w:rPr>
                <w:color w:val="000000"/>
                <w:sz w:val="18"/>
                <w:lang w:val="fr-FR"/>
              </w:rPr>
              <w:t>2012) et permettait de couvrir en partie (30 à 50%)</w:t>
            </w:r>
            <w:r>
              <w:rPr>
                <w:color w:val="000000"/>
                <w:sz w:val="18"/>
                <w:lang w:val="fr-FR"/>
              </w:rPr>
              <w:t xml:space="preserve"> l</w:t>
            </w:r>
            <w:r w:rsidRPr="00DE6730">
              <w:rPr>
                <w:color w:val="000000"/>
                <w:sz w:val="18"/>
                <w:lang w:val="fr-FR"/>
              </w:rPr>
              <w:t>es besoins alimentaires des ménages ciblés.</w:t>
            </w:r>
          </w:p>
          <w:p w:rsidR="00DE6730" w:rsidRDefault="00DE6730" w:rsidP="00DE6730">
            <w:pPr>
              <w:rPr>
                <w:color w:val="000000"/>
                <w:sz w:val="18"/>
                <w:lang w:val="fr-FR"/>
              </w:rPr>
            </w:pPr>
          </w:p>
          <w:p w:rsidR="00DE6730" w:rsidRPr="00DE6730" w:rsidRDefault="00DE6730" w:rsidP="00DE6730">
            <w:pPr>
              <w:rPr>
                <w:color w:val="000000"/>
                <w:sz w:val="18"/>
                <w:lang w:val="fr-FR"/>
              </w:rPr>
            </w:pPr>
            <w:r w:rsidRPr="00DE6730">
              <w:rPr>
                <w:color w:val="000000"/>
                <w:sz w:val="18"/>
                <w:lang w:val="fr-FR"/>
              </w:rPr>
              <w:t>Les principaux enseignements concernant les effets de ces transferts monétaires sont les suivants</w:t>
            </w:r>
            <w:r w:rsidR="00C206C3">
              <w:rPr>
                <w:color w:val="000000"/>
                <w:sz w:val="18"/>
                <w:lang w:val="fr-FR"/>
              </w:rPr>
              <w:t> :</w:t>
            </w:r>
          </w:p>
          <w:p w:rsidR="00DE6730" w:rsidRDefault="00DE6730" w:rsidP="00D97FF9">
            <w:pPr>
              <w:rPr>
                <w:b/>
                <w:color w:val="000000"/>
                <w:sz w:val="18"/>
                <w:lang w:val="fr-FR"/>
              </w:rPr>
            </w:pPr>
          </w:p>
          <w:p w:rsidR="00DE6730" w:rsidRPr="00DE6730" w:rsidRDefault="00DE6730" w:rsidP="00DE6730">
            <w:pPr>
              <w:rPr>
                <w:b/>
                <w:color w:val="000000"/>
                <w:sz w:val="18"/>
                <w:lang w:val="fr-FR"/>
              </w:rPr>
            </w:pPr>
            <w:r w:rsidRPr="00DE6730">
              <w:rPr>
                <w:b/>
                <w:color w:val="000000"/>
                <w:sz w:val="18"/>
                <w:lang w:val="fr-FR"/>
              </w:rPr>
              <w:t xml:space="preserve">1/ </w:t>
            </w:r>
            <w:r w:rsidRPr="00DE6730">
              <w:rPr>
                <w:b/>
                <w:color w:val="000000"/>
                <w:sz w:val="18"/>
                <w:u w:val="single"/>
                <w:lang w:val="fr-FR"/>
              </w:rPr>
              <w:t>L’utilisation de l’argent centrée sur l’alimentation et les avoirs relatifs aux moyens d’existence</w:t>
            </w:r>
          </w:p>
          <w:p w:rsidR="00DE6730" w:rsidRPr="00DE6730" w:rsidRDefault="00DE6730" w:rsidP="00DE6730">
            <w:pPr>
              <w:rPr>
                <w:color w:val="000000"/>
                <w:sz w:val="18"/>
                <w:lang w:val="fr-FR"/>
              </w:rPr>
            </w:pPr>
            <w:r w:rsidRPr="00DE6730">
              <w:rPr>
                <w:color w:val="000000"/>
                <w:sz w:val="18"/>
                <w:lang w:val="fr-FR"/>
              </w:rPr>
              <w:t>L’analyse continue des flux de trésorerie des ménages a révélé que 75% du montant transféré ont été utilisés pour l’alimentation. Cependant un impact limité a été observé en matière de diversification des repas. Par ailleurs il a été mesuré une utilisation significative de l’argent pour le remboursement d’emprunts et la souscription de nouvelles dettes. Les transferts ont ainsi permis de renforcer une stratégie majeure des ménages consistant à utiliser l’endettement pour lisser les flux de trésorerie sur l’année. Enfin il a été constaté un investissement en bétail, bien productif aux intérêts divers (épargne, viande, lait, reproduction).</w:t>
            </w:r>
          </w:p>
          <w:p w:rsidR="00DE6730" w:rsidRDefault="00DE6730" w:rsidP="00DE6730">
            <w:pPr>
              <w:rPr>
                <w:b/>
                <w:color w:val="000000"/>
                <w:sz w:val="18"/>
                <w:lang w:val="fr-FR"/>
              </w:rPr>
            </w:pPr>
          </w:p>
          <w:p w:rsidR="00DE6730" w:rsidRPr="00DE6730" w:rsidRDefault="00DE6730" w:rsidP="00DE6730">
            <w:pPr>
              <w:rPr>
                <w:b/>
                <w:color w:val="000000"/>
                <w:sz w:val="18"/>
                <w:lang w:val="fr-FR"/>
              </w:rPr>
            </w:pPr>
            <w:r w:rsidRPr="00DE6730">
              <w:rPr>
                <w:b/>
                <w:color w:val="000000"/>
                <w:sz w:val="18"/>
                <w:lang w:val="fr-FR"/>
              </w:rPr>
              <w:t xml:space="preserve">2/ </w:t>
            </w:r>
            <w:r w:rsidRPr="00DE6730">
              <w:rPr>
                <w:b/>
                <w:color w:val="000000"/>
                <w:sz w:val="18"/>
                <w:u w:val="single"/>
                <w:lang w:val="fr-FR"/>
              </w:rPr>
              <w:t>Les activités génératrices de revenus (AGR) peu stimulées</w:t>
            </w:r>
          </w:p>
          <w:p w:rsidR="00DE6730" w:rsidRDefault="00DE6730" w:rsidP="00DE6730">
            <w:pPr>
              <w:rPr>
                <w:color w:val="000000"/>
                <w:sz w:val="18"/>
                <w:lang w:val="fr-FR"/>
              </w:rPr>
            </w:pPr>
            <w:r w:rsidRPr="00DE6730">
              <w:rPr>
                <w:color w:val="000000"/>
                <w:sz w:val="18"/>
                <w:lang w:val="fr-FR"/>
              </w:rPr>
              <w:t xml:space="preserve">Le contexte socio-économique de cette zone reculée est peu propice aux AGR (demande locale en biens et services réduite). Les AGR sont davantage développées à l’extérieur du territoire villageois par les membres des ménages partis en migration (Nouakchott, Nouadhibou, Dakar). Le choix du ciblage intégrant les limitations en capital humain (ménages avec peu d’actifs </w:t>
            </w:r>
            <w:r w:rsidRPr="00DE6730">
              <w:rPr>
                <w:color w:val="000000"/>
                <w:sz w:val="18"/>
                <w:lang w:val="fr-FR"/>
              </w:rPr>
              <w:lastRenderedPageBreak/>
              <w:t>disponibles, faibles compétences) celui-ci ne favorise pas le développement d’AGR sans appui spécifique (formation, etc.) et sans cadre d’action adapté (projet plus long et transfert en période hors soudure).</w:t>
            </w:r>
          </w:p>
          <w:p w:rsidR="00DE6730" w:rsidRPr="00DE6730" w:rsidRDefault="00DE6730" w:rsidP="00DE6730">
            <w:pPr>
              <w:rPr>
                <w:color w:val="000000"/>
                <w:sz w:val="18"/>
                <w:lang w:val="fr-FR"/>
              </w:rPr>
            </w:pPr>
          </w:p>
          <w:p w:rsidR="00DE6730" w:rsidRPr="00DE6730" w:rsidRDefault="00DE6730" w:rsidP="00DE6730">
            <w:pPr>
              <w:rPr>
                <w:b/>
                <w:color w:val="000000"/>
                <w:sz w:val="18"/>
                <w:lang w:val="fr-FR"/>
              </w:rPr>
            </w:pPr>
            <w:r w:rsidRPr="00DE6730">
              <w:rPr>
                <w:b/>
                <w:color w:val="000000"/>
                <w:sz w:val="18"/>
                <w:lang w:val="fr-FR"/>
              </w:rPr>
              <w:t xml:space="preserve">3/ </w:t>
            </w:r>
            <w:r w:rsidRPr="00DE6730">
              <w:rPr>
                <w:b/>
                <w:color w:val="000000"/>
                <w:sz w:val="18"/>
                <w:u w:val="single"/>
                <w:lang w:val="fr-FR"/>
              </w:rPr>
              <w:t>Un outil peu adapté aux problématiques de santé villageoise</w:t>
            </w:r>
          </w:p>
          <w:p w:rsidR="00DE6730" w:rsidRPr="00DE6730" w:rsidRDefault="00DE6730" w:rsidP="00DE6730">
            <w:pPr>
              <w:rPr>
                <w:color w:val="000000"/>
                <w:sz w:val="18"/>
                <w:lang w:val="fr-FR"/>
              </w:rPr>
            </w:pPr>
            <w:r w:rsidRPr="00DE6730">
              <w:rPr>
                <w:color w:val="000000"/>
                <w:sz w:val="18"/>
                <w:lang w:val="fr-FR"/>
              </w:rPr>
              <w:t>L’étude a montré que les problèmes de santé constituent un déterminant fort de paupérisation des ménages en raison des coûts importants qu’ils occasionnent et des charges à long-terme qu’ils peuvent produire (décès, veuvage, handicap, etc.). Il apparait toutefois que les transferts n’ont pas été utilisés à cet effet (3,5%) car ils peuvent difficilement répondre à cette problématique. En effet ils interviennent selon un calendrier figé et par faibles montants. Or les dépenses de santé sont imprévisibles et de montants conséquents. La vente d’animaux et l’endettement sont davantage mobilisés pour couvrir ces frais.</w:t>
            </w:r>
          </w:p>
          <w:p w:rsidR="00DE6730" w:rsidRDefault="00DE6730" w:rsidP="00DE6730">
            <w:pPr>
              <w:rPr>
                <w:b/>
                <w:color w:val="000000"/>
                <w:sz w:val="18"/>
                <w:lang w:val="fr-FR"/>
              </w:rPr>
            </w:pPr>
          </w:p>
          <w:p w:rsidR="00DE6730" w:rsidRPr="00DE6730" w:rsidRDefault="00DE6730" w:rsidP="00DE6730">
            <w:pPr>
              <w:rPr>
                <w:b/>
                <w:color w:val="000000"/>
                <w:sz w:val="18"/>
                <w:lang w:val="fr-FR"/>
              </w:rPr>
            </w:pPr>
            <w:r w:rsidRPr="00DE6730">
              <w:rPr>
                <w:b/>
                <w:color w:val="000000"/>
                <w:sz w:val="18"/>
                <w:lang w:val="fr-FR"/>
              </w:rPr>
              <w:t xml:space="preserve">4/ </w:t>
            </w:r>
            <w:r w:rsidRPr="00DE6730">
              <w:rPr>
                <w:b/>
                <w:color w:val="000000"/>
                <w:sz w:val="18"/>
                <w:u w:val="single"/>
                <w:lang w:val="fr-FR"/>
              </w:rPr>
              <w:t>Un outil aux effets réduits sur les stratégies de migration économique</w:t>
            </w:r>
          </w:p>
          <w:p w:rsidR="00DE6730" w:rsidRPr="00DE6730" w:rsidRDefault="00DE6730" w:rsidP="00DE6730">
            <w:pPr>
              <w:rPr>
                <w:color w:val="000000"/>
                <w:sz w:val="18"/>
                <w:lang w:val="fr-FR"/>
              </w:rPr>
            </w:pPr>
            <w:r w:rsidRPr="00DE6730">
              <w:rPr>
                <w:color w:val="000000"/>
                <w:sz w:val="18"/>
                <w:lang w:val="fr-FR"/>
              </w:rPr>
              <w:t xml:space="preserve">La mobilité économique est un pilier majeur de la sécurité alimentaire des ménages. Ces stratégies sont planifiées et leur financement organisé. Ainsi les transferts ponctuels n’ont ni favorisé ni réduit les départs. Par ailleurs il apparait que les envois d’argent aux ménages n’ont pas diminué. Les migrants peuvent se voir soulagés momentanément de leur devoir économique durant la période de transfert mais les envois d’argent semblent perçus comme une « dette morale » contractée auprès du ménage du fait de l’absence du village et ne sont donc pas remis en question. </w:t>
            </w:r>
          </w:p>
          <w:p w:rsidR="00DE6730" w:rsidRPr="00DE6730" w:rsidRDefault="00DE6730" w:rsidP="00DE6730">
            <w:pPr>
              <w:rPr>
                <w:b/>
                <w:color w:val="000000"/>
                <w:sz w:val="18"/>
                <w:lang w:val="fr-FR"/>
              </w:rPr>
            </w:pPr>
          </w:p>
          <w:p w:rsidR="00DE6730" w:rsidRPr="00DE6730" w:rsidRDefault="00DE6730" w:rsidP="00DE6730">
            <w:pPr>
              <w:rPr>
                <w:b/>
                <w:color w:val="000000"/>
                <w:sz w:val="18"/>
                <w:u w:val="single"/>
                <w:lang w:val="fr-FR"/>
              </w:rPr>
            </w:pPr>
            <w:r w:rsidRPr="00DE6730">
              <w:rPr>
                <w:b/>
                <w:color w:val="000000"/>
                <w:sz w:val="18"/>
                <w:lang w:val="fr-FR"/>
              </w:rPr>
              <w:t xml:space="preserve">5/ </w:t>
            </w:r>
            <w:r w:rsidRPr="00DE6730">
              <w:rPr>
                <w:b/>
                <w:color w:val="000000"/>
                <w:sz w:val="18"/>
                <w:u w:val="single"/>
                <w:lang w:val="fr-FR"/>
              </w:rPr>
              <w:t>Le rôle des volontaires dans l’acceptation de l’outil</w:t>
            </w:r>
          </w:p>
          <w:p w:rsidR="00DE6730" w:rsidRPr="00DE6730" w:rsidRDefault="00DE6730" w:rsidP="00DE6730">
            <w:pPr>
              <w:rPr>
                <w:color w:val="000000"/>
                <w:sz w:val="18"/>
                <w:lang w:val="fr-FR"/>
              </w:rPr>
            </w:pPr>
            <w:r w:rsidRPr="00DE6730">
              <w:rPr>
                <w:color w:val="000000"/>
                <w:sz w:val="18"/>
                <w:lang w:val="fr-FR"/>
              </w:rPr>
              <w:t>Des pratiques de redistribution de l’aide ont été constatées lors du premier transfert, affectant son efficacité. L’analyse a montré que l’aide extérieure (monétaire ou en nature) est perçue dans les villages comme devant bénéficier à tous, de surcroît en période de soudure. Les volontaires du CRM ont réexpliqué l’intérêt d’un transfert orienté vers les plus nécessiteux, identifiés sur la base de critères de vulnérabilité partagés par tous. Aucun phénomène de redistribution n’a été constaté lors des deux autres transferts. L’intérêt d’une aide ciblée a été reconnu par les villageois malgré la difficulté exprimée de hiérarchiser les vulnérabilités entre ménages et de gérer parfois les frustrations.</w:t>
            </w:r>
          </w:p>
          <w:p w:rsidR="00EC4944" w:rsidRDefault="00EC4944" w:rsidP="00DE6730">
            <w:pPr>
              <w:rPr>
                <w:color w:val="000000"/>
                <w:sz w:val="18"/>
                <w:lang w:val="fr-FR"/>
              </w:rPr>
            </w:pPr>
          </w:p>
          <w:p w:rsidR="00DE6730" w:rsidRPr="00DE6730" w:rsidRDefault="00DE6730" w:rsidP="00DE6730">
            <w:pPr>
              <w:rPr>
                <w:color w:val="000000"/>
                <w:sz w:val="18"/>
                <w:lang w:val="fr-FR"/>
              </w:rPr>
            </w:pPr>
            <w:r w:rsidRPr="00DE6730">
              <w:rPr>
                <w:color w:val="000000"/>
                <w:sz w:val="18"/>
                <w:lang w:val="fr-FR"/>
              </w:rPr>
              <w:t>Ainsi le transfert monétaire apparait comme un outil efficace de réduction de l’insécurité alimentaire, notamment en période de soudure. Cependant dans le contexte du projet il semble insuffisant pour contrecarrer à lui seul la dégradation du capital humain et soutenir le développement économique du ménage.</w:t>
            </w:r>
          </w:p>
          <w:p w:rsidR="00D97FF9" w:rsidRPr="00EC4944" w:rsidRDefault="00D97FF9" w:rsidP="00EC4944">
            <w:pPr>
              <w:rPr>
                <w:color w:val="000000"/>
                <w:sz w:val="18"/>
                <w:lang w:val="fr-FR"/>
              </w:rPr>
            </w:pPr>
          </w:p>
          <w:p w:rsidR="00D97FF9" w:rsidRPr="00D97FF9" w:rsidRDefault="00D97FF9" w:rsidP="00D97FF9">
            <w:pPr>
              <w:rPr>
                <w:b/>
                <w:color w:val="000000"/>
                <w:sz w:val="18"/>
                <w:lang w:val="fr-FR"/>
              </w:rPr>
            </w:pPr>
            <w:r w:rsidRPr="00D97FF9">
              <w:rPr>
                <w:b/>
                <w:color w:val="000000"/>
                <w:sz w:val="18"/>
                <w:lang w:val="fr-FR"/>
              </w:rPr>
              <w:t xml:space="preserve">Forces / atouts : </w:t>
            </w:r>
          </w:p>
          <w:p w:rsidR="00D97FF9" w:rsidRPr="0050597B" w:rsidRDefault="00D97FF9" w:rsidP="0050597B">
            <w:pPr>
              <w:pStyle w:val="Paragraphedeliste"/>
              <w:numPr>
                <w:ilvl w:val="0"/>
                <w:numId w:val="2"/>
              </w:numPr>
              <w:tabs>
                <w:tab w:val="num" w:pos="317"/>
              </w:tabs>
              <w:ind w:left="317" w:hanging="142"/>
              <w:rPr>
                <w:color w:val="000000"/>
                <w:sz w:val="18"/>
                <w:lang w:val="fr-FR"/>
              </w:rPr>
            </w:pPr>
            <w:r w:rsidRPr="0050597B">
              <w:rPr>
                <w:color w:val="000000"/>
                <w:sz w:val="18"/>
                <w:lang w:val="fr-FR"/>
              </w:rPr>
              <w:t>Projet de recherche action de 24 mois permettant de développer un système de suivi / évaluation dense et un suivi rapproché des populations</w:t>
            </w:r>
          </w:p>
          <w:p w:rsidR="00D97FF9" w:rsidRDefault="00D97FF9" w:rsidP="00D97FF9">
            <w:pPr>
              <w:rPr>
                <w:color w:val="000000"/>
                <w:sz w:val="18"/>
                <w:lang w:val="fr-FR"/>
              </w:rPr>
            </w:pPr>
          </w:p>
          <w:p w:rsidR="00D97FF9" w:rsidRPr="00D97FF9" w:rsidRDefault="00D97FF9" w:rsidP="00D97FF9">
            <w:pPr>
              <w:rPr>
                <w:b/>
                <w:color w:val="000000"/>
                <w:sz w:val="18"/>
                <w:lang w:val="fr-FR"/>
              </w:rPr>
            </w:pPr>
            <w:r w:rsidRPr="00D97FF9">
              <w:rPr>
                <w:b/>
                <w:color w:val="000000"/>
                <w:sz w:val="18"/>
                <w:lang w:val="fr-FR"/>
              </w:rPr>
              <w:t>Faiblesse</w:t>
            </w:r>
            <w:r>
              <w:rPr>
                <w:b/>
                <w:color w:val="000000"/>
                <w:sz w:val="18"/>
                <w:lang w:val="fr-FR"/>
              </w:rPr>
              <w:t>s</w:t>
            </w:r>
            <w:r w:rsidRPr="00D97FF9">
              <w:rPr>
                <w:b/>
                <w:color w:val="000000"/>
                <w:sz w:val="18"/>
                <w:lang w:val="fr-FR"/>
              </w:rPr>
              <w:t xml:space="preserve"> / difficultés / contraintes : </w:t>
            </w:r>
          </w:p>
          <w:p w:rsidR="0050597B" w:rsidRDefault="0050597B" w:rsidP="0050597B">
            <w:pPr>
              <w:pStyle w:val="Paragraphedeliste"/>
              <w:numPr>
                <w:ilvl w:val="0"/>
                <w:numId w:val="2"/>
              </w:numPr>
              <w:tabs>
                <w:tab w:val="num" w:pos="317"/>
              </w:tabs>
              <w:ind w:left="317" w:hanging="142"/>
              <w:jc w:val="both"/>
              <w:rPr>
                <w:color w:val="000000"/>
                <w:sz w:val="18"/>
                <w:lang w:val="fr-FR"/>
              </w:rPr>
            </w:pPr>
            <w:r w:rsidRPr="0050597B">
              <w:rPr>
                <w:color w:val="000000"/>
                <w:sz w:val="18"/>
                <w:lang w:val="fr-FR"/>
              </w:rPr>
              <w:t xml:space="preserve">Lien avec les mobilités à approfondir (étude </w:t>
            </w:r>
            <w:r>
              <w:rPr>
                <w:color w:val="000000"/>
                <w:sz w:val="18"/>
                <w:lang w:val="fr-FR"/>
              </w:rPr>
              <w:t xml:space="preserve">réalisée et </w:t>
            </w:r>
            <w:r w:rsidRPr="0050597B">
              <w:rPr>
                <w:color w:val="000000"/>
                <w:sz w:val="18"/>
                <w:lang w:val="fr-FR"/>
              </w:rPr>
              <w:t xml:space="preserve">disponible) </w:t>
            </w:r>
          </w:p>
          <w:p w:rsidR="0050597B" w:rsidRDefault="0050597B" w:rsidP="0050597B">
            <w:pPr>
              <w:pStyle w:val="Paragraphedeliste"/>
              <w:numPr>
                <w:ilvl w:val="0"/>
                <w:numId w:val="2"/>
              </w:numPr>
              <w:tabs>
                <w:tab w:val="num" w:pos="317"/>
              </w:tabs>
              <w:ind w:left="317" w:hanging="142"/>
              <w:jc w:val="both"/>
              <w:rPr>
                <w:color w:val="000000"/>
                <w:sz w:val="18"/>
                <w:lang w:val="fr-FR"/>
              </w:rPr>
            </w:pPr>
            <w:r w:rsidRPr="0050597B">
              <w:rPr>
                <w:color w:val="000000"/>
                <w:sz w:val="18"/>
                <w:lang w:val="fr-FR"/>
              </w:rPr>
              <w:t>Etude de l’endettement à entreprendre (étude à lancer)</w:t>
            </w:r>
          </w:p>
          <w:p w:rsidR="0050597B" w:rsidRDefault="0050597B" w:rsidP="0050597B">
            <w:pPr>
              <w:pStyle w:val="Paragraphedeliste"/>
              <w:numPr>
                <w:ilvl w:val="0"/>
                <w:numId w:val="2"/>
              </w:numPr>
              <w:tabs>
                <w:tab w:val="num" w:pos="317"/>
              </w:tabs>
              <w:ind w:left="317" w:hanging="142"/>
              <w:jc w:val="both"/>
              <w:rPr>
                <w:color w:val="000000"/>
                <w:sz w:val="18"/>
                <w:lang w:val="fr-FR"/>
              </w:rPr>
            </w:pPr>
            <w:r w:rsidRPr="0050597B">
              <w:rPr>
                <w:color w:val="000000"/>
                <w:sz w:val="18"/>
                <w:lang w:val="fr-FR"/>
              </w:rPr>
              <w:t>Liens avec la santé à consolider et à approfondir mais dif</w:t>
            </w:r>
            <w:r w:rsidR="00C45F1B">
              <w:rPr>
                <w:color w:val="000000"/>
                <w:sz w:val="18"/>
                <w:lang w:val="fr-FR"/>
              </w:rPr>
              <w:t>ficultés méthodologiques car la</w:t>
            </w:r>
            <w:r w:rsidRPr="0050597B">
              <w:rPr>
                <w:color w:val="000000"/>
                <w:sz w:val="18"/>
                <w:lang w:val="fr-FR"/>
              </w:rPr>
              <w:t xml:space="preserve"> porte d’entrée socio-économique oriente la problématique sanitaire sur les actifs des ménages (ceux qui devraient apporter des ressources économiques et contribuer au budget et qui ne sont pas ou plus en mesure de le faire). Or, l’attente institutionnelle sur le sujet des liens entre santé, transfert monétaire et socio-économie des ménages porte essentiellement sur la problématique de la malnutrition infantile et donc sur les membres inactifs des ménages. L’établissement de liens entre ces deux portes d’entrées pose ainsi des difficultés méthodologiques en plus du fait que les déterminants de la malnutrition dépassent le cadre unique de l’économie des ménages.</w:t>
            </w:r>
          </w:p>
          <w:p w:rsidR="0050597B" w:rsidRPr="0050597B" w:rsidRDefault="0050597B" w:rsidP="0050597B">
            <w:pPr>
              <w:pStyle w:val="Paragraphedeliste"/>
              <w:numPr>
                <w:ilvl w:val="0"/>
                <w:numId w:val="2"/>
              </w:numPr>
              <w:tabs>
                <w:tab w:val="num" w:pos="317"/>
              </w:tabs>
              <w:ind w:left="317" w:hanging="142"/>
              <w:jc w:val="both"/>
              <w:rPr>
                <w:color w:val="000000"/>
                <w:sz w:val="18"/>
                <w:lang w:val="fr-FR"/>
              </w:rPr>
            </w:pPr>
            <w:r w:rsidRPr="0050597B">
              <w:rPr>
                <w:color w:val="000000"/>
                <w:sz w:val="18"/>
                <w:lang w:val="fr-FR"/>
              </w:rPr>
              <w:t>Un pas de temps d’analyse court dans un contexte caractérisé par l’incertitude</w:t>
            </w:r>
            <w:r w:rsidR="00C45F1B">
              <w:rPr>
                <w:color w:val="000000"/>
                <w:sz w:val="18"/>
                <w:lang w:val="fr-FR"/>
              </w:rPr>
              <w:t xml:space="preserve">. </w:t>
            </w:r>
          </w:p>
        </w:tc>
      </w:tr>
      <w:tr w:rsidR="00252B9E" w:rsidRPr="00162C6B" w:rsidTr="00E91EBC">
        <w:tc>
          <w:tcPr>
            <w:tcW w:w="3936" w:type="dxa"/>
            <w:shd w:val="clear" w:color="auto" w:fill="EAF1DD"/>
            <w:tcMar>
              <w:top w:w="170" w:type="dxa"/>
              <w:bottom w:w="170" w:type="dxa"/>
            </w:tcMar>
            <w:vAlign w:val="center"/>
          </w:tcPr>
          <w:p w:rsidR="00252B9E" w:rsidRPr="00162C6B" w:rsidRDefault="002A1521" w:rsidP="00E91EBC">
            <w:pPr>
              <w:rPr>
                <w:sz w:val="20"/>
                <w:lang w:val="en-US"/>
              </w:rPr>
            </w:pPr>
            <w:r>
              <w:rPr>
                <w:sz w:val="20"/>
                <w:lang w:val="fr-WINDIES"/>
              </w:rPr>
              <w:lastRenderedPageBreak/>
              <w:t>Messages clés à communiquer</w:t>
            </w:r>
          </w:p>
        </w:tc>
        <w:tc>
          <w:tcPr>
            <w:tcW w:w="6662" w:type="dxa"/>
            <w:shd w:val="clear" w:color="auto" w:fill="EEECE1"/>
            <w:tcMar>
              <w:top w:w="170" w:type="dxa"/>
              <w:bottom w:w="170" w:type="dxa"/>
            </w:tcMar>
            <w:vAlign w:val="center"/>
          </w:tcPr>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 xml:space="preserve">L’utilisation du numéraire est centrée autour de l’alimentation et des avoirs </w:t>
            </w:r>
            <w:r w:rsidRPr="00DE6730">
              <w:rPr>
                <w:color w:val="000000"/>
                <w:sz w:val="18"/>
                <w:lang w:val="fr-FR"/>
              </w:rPr>
              <w:lastRenderedPageBreak/>
              <w:t xml:space="preserve">relatifs aux moyens d’existence. Mais si les effets sont forts en termes d’accessibilité aux aliments de base, </w:t>
            </w:r>
            <w:r w:rsidRPr="00DE6730">
              <w:rPr>
                <w:bCs/>
                <w:color w:val="000000"/>
                <w:sz w:val="18"/>
                <w:lang w:val="fr-FR"/>
              </w:rPr>
              <w:t>les effets en termes d’amélioration de la qualité de l’alimentation et notamment sur la diversité des repas restent limités</w:t>
            </w:r>
            <w:r w:rsidRPr="00DE6730">
              <w:rPr>
                <w:color w:val="000000"/>
                <w:sz w:val="18"/>
                <w:lang w:val="fr-FR"/>
              </w:rPr>
              <w:t xml:space="preserve">. </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 xml:space="preserve">Les transferts monétaires sont utilisés pour rembourser les dettes le plus souvent liées à l’alimentation, mais aussi pour en contracter de nouvelles. </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 xml:space="preserve">Les AGR ne constituent pas une option d’investissement pour les ménages ciblés et sélectionnés. </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Il existe des liens forts entre les transferts monétaires et la santé des ménages pauvres.</w:t>
            </w:r>
          </w:p>
          <w:p w:rsidR="00DE6730" w:rsidRPr="00DE6730" w:rsidRDefault="00DE6730" w:rsidP="00DE6730">
            <w:pPr>
              <w:tabs>
                <w:tab w:val="num" w:pos="317"/>
              </w:tabs>
              <w:ind w:left="317" w:hanging="142"/>
              <w:rPr>
                <w:bCs/>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bCs/>
                <w:color w:val="000000"/>
                <w:sz w:val="18"/>
                <w:lang w:val="fr-FR"/>
              </w:rPr>
              <w:t>Mais les modalités de l’outil transfert monétaire tel qu’utilisé (absence de conditionnalités, temporalité, montants) ne semblent pas adaptées pour répondre aux problématiques de santé villageoises.</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 xml:space="preserve">Les transferts monétaires n’ont pas d’effet négatif sur les logiques de mobilité et de soutien des membres des ménages en mobilité. </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Au niveau communautaire, nous n’avons pas observé de tension inter et intra villageoise conséquente.</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Il semblerait que l’aide monétaire soit préférée à l’aide en nature.</w:t>
            </w:r>
          </w:p>
          <w:p w:rsidR="00DE6730" w:rsidRPr="00DE6730" w:rsidRDefault="00DE6730" w:rsidP="00DE6730">
            <w:pPr>
              <w:tabs>
                <w:tab w:val="num" w:pos="317"/>
              </w:tabs>
              <w:ind w:left="317" w:hanging="142"/>
              <w:rPr>
                <w:bCs/>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bCs/>
                <w:color w:val="000000"/>
                <w:sz w:val="18"/>
                <w:lang w:val="fr-FR"/>
              </w:rPr>
              <w:t>Finalement plus que l’outil transfert monétaire c’est le ciblage qui implique le plus d’enjeux pour les communautés et de responsabilités pour les comités</w:t>
            </w:r>
            <w:r w:rsidRPr="00DE6730">
              <w:rPr>
                <w:color w:val="000000"/>
                <w:sz w:val="18"/>
                <w:lang w:val="fr-FR"/>
              </w:rPr>
              <w:t>.</w:t>
            </w:r>
          </w:p>
          <w:p w:rsidR="00DE6730" w:rsidRPr="00DE6730" w:rsidRDefault="00DE6730" w:rsidP="00DE6730">
            <w:pPr>
              <w:tabs>
                <w:tab w:val="num" w:pos="317"/>
              </w:tabs>
              <w:ind w:left="317" w:hanging="142"/>
              <w:rPr>
                <w:bCs/>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bCs/>
                <w:color w:val="000000"/>
                <w:sz w:val="18"/>
                <w:lang w:val="fr-FR"/>
              </w:rPr>
              <w:t>La période de soudure se prête bien à la mise en place de filets de protection sociale à vocation de lutte contre l’insécurité alimentaire.</w:t>
            </w:r>
          </w:p>
          <w:p w:rsidR="00DE6730" w:rsidRPr="00DE6730" w:rsidRDefault="00DE6730" w:rsidP="00DE6730">
            <w:pPr>
              <w:tabs>
                <w:tab w:val="num" w:pos="317"/>
              </w:tabs>
              <w:ind w:left="317" w:hanging="142"/>
              <w:rPr>
                <w:color w:val="000000"/>
                <w:sz w:val="18"/>
                <w:lang w:val="fr-FR"/>
              </w:rPr>
            </w:pPr>
          </w:p>
          <w:p w:rsidR="00DE6730" w:rsidRPr="00DE6730" w:rsidRDefault="00DE6730" w:rsidP="00DE6730">
            <w:pPr>
              <w:numPr>
                <w:ilvl w:val="0"/>
                <w:numId w:val="2"/>
              </w:numPr>
              <w:tabs>
                <w:tab w:val="clear" w:pos="502"/>
                <w:tab w:val="num" w:pos="317"/>
              </w:tabs>
              <w:ind w:left="317" w:hanging="142"/>
              <w:rPr>
                <w:color w:val="000000"/>
                <w:sz w:val="18"/>
                <w:lang w:val="fr-FR"/>
              </w:rPr>
            </w:pPr>
            <w:r w:rsidRPr="00DE6730">
              <w:rPr>
                <w:color w:val="000000"/>
                <w:sz w:val="18"/>
                <w:lang w:val="fr-FR"/>
              </w:rPr>
              <w:t xml:space="preserve">L’existence de trappes de pauvreté, le plus souvent liées à la détérioration du capital humain (maladies, décès, divorces, veuvages, etc.) auxquelles font face les ménages, impliquent que le ciblage soit sensiblement différent d’une année sur l’autre pour prendre en considération les trajectoires des ménages. </w:t>
            </w:r>
          </w:p>
          <w:p w:rsidR="00DE6730" w:rsidRPr="00DE6730" w:rsidRDefault="00DE6730" w:rsidP="00DE6730">
            <w:pPr>
              <w:tabs>
                <w:tab w:val="num" w:pos="317"/>
              </w:tabs>
              <w:ind w:left="317" w:hanging="142"/>
              <w:rPr>
                <w:color w:val="000000"/>
                <w:sz w:val="18"/>
                <w:lang w:val="fr-FR"/>
              </w:rPr>
            </w:pPr>
          </w:p>
          <w:p w:rsidR="00252B9E" w:rsidRPr="00EC4944" w:rsidRDefault="00DE6730" w:rsidP="00EC4944">
            <w:pPr>
              <w:numPr>
                <w:ilvl w:val="0"/>
                <w:numId w:val="2"/>
              </w:numPr>
              <w:tabs>
                <w:tab w:val="clear" w:pos="502"/>
                <w:tab w:val="num" w:pos="317"/>
              </w:tabs>
              <w:ind w:left="317" w:hanging="142"/>
              <w:rPr>
                <w:color w:val="000000"/>
                <w:sz w:val="18"/>
                <w:lang w:val="fr-FR"/>
              </w:rPr>
            </w:pPr>
            <w:r w:rsidRPr="00DE6730">
              <w:rPr>
                <w:color w:val="000000"/>
                <w:sz w:val="18"/>
                <w:lang w:val="fr-FR"/>
              </w:rPr>
              <w:t xml:space="preserve">L’outil transfert monétaire n’est pas suffisant et il parait nécessaire de mettre en place d’autres actions complémentaires de filets de sécurité socio-économiques. </w:t>
            </w:r>
          </w:p>
        </w:tc>
      </w:tr>
      <w:tr w:rsidR="00252B9E" w:rsidRPr="009C31AB" w:rsidTr="00E91EBC">
        <w:tc>
          <w:tcPr>
            <w:tcW w:w="3936" w:type="dxa"/>
            <w:shd w:val="clear" w:color="auto" w:fill="EAF1DD"/>
            <w:tcMar>
              <w:top w:w="170" w:type="dxa"/>
              <w:bottom w:w="170" w:type="dxa"/>
            </w:tcMar>
            <w:vAlign w:val="center"/>
          </w:tcPr>
          <w:p w:rsidR="00252B9E" w:rsidRPr="00017383" w:rsidRDefault="00252B9E" w:rsidP="00E91EBC">
            <w:pPr>
              <w:rPr>
                <w:sz w:val="20"/>
                <w:lang w:val="en-US"/>
              </w:rPr>
            </w:pPr>
            <w:r w:rsidRPr="00017383">
              <w:rPr>
                <w:sz w:val="20"/>
                <w:lang w:val="en-US"/>
              </w:rPr>
              <w:lastRenderedPageBreak/>
              <w:t>Contact</w:t>
            </w:r>
          </w:p>
          <w:p w:rsidR="00252B9E" w:rsidRPr="00017383" w:rsidRDefault="00252B9E" w:rsidP="00E91EBC">
            <w:pPr>
              <w:rPr>
                <w:sz w:val="20"/>
                <w:lang w:val="en-US"/>
              </w:rPr>
            </w:pPr>
            <w:r w:rsidRPr="00017383">
              <w:rPr>
                <w:sz w:val="20"/>
                <w:lang w:val="en-US"/>
              </w:rPr>
              <w:t>(</w:t>
            </w:r>
            <w:r>
              <w:rPr>
                <w:sz w:val="20"/>
                <w:lang w:val="en-US"/>
              </w:rPr>
              <w:t>Nom,</w:t>
            </w:r>
            <w:r w:rsidRPr="00167567">
              <w:rPr>
                <w:sz w:val="20"/>
                <w:lang w:val="fr-WINDIES"/>
              </w:rPr>
              <w:t xml:space="preserve"> adresse électronique</w:t>
            </w:r>
            <w:r w:rsidRPr="00017383">
              <w:rPr>
                <w:sz w:val="20"/>
                <w:lang w:val="en-US"/>
              </w:rPr>
              <w:t>)</w:t>
            </w:r>
          </w:p>
        </w:tc>
        <w:tc>
          <w:tcPr>
            <w:tcW w:w="6662" w:type="dxa"/>
            <w:shd w:val="clear" w:color="auto" w:fill="EEECE1"/>
            <w:tcMar>
              <w:top w:w="170" w:type="dxa"/>
              <w:bottom w:w="170" w:type="dxa"/>
            </w:tcMar>
            <w:vAlign w:val="center"/>
          </w:tcPr>
          <w:p w:rsidR="00252B9E" w:rsidRPr="00017383" w:rsidRDefault="001667FF" w:rsidP="00E91EBC">
            <w:pPr>
              <w:rPr>
                <w:color w:val="000000"/>
                <w:sz w:val="18"/>
                <w:lang w:val="en-US"/>
              </w:rPr>
            </w:pPr>
            <w:r>
              <w:rPr>
                <w:color w:val="000000"/>
                <w:sz w:val="18"/>
                <w:lang w:val="en-US"/>
              </w:rPr>
              <w:t xml:space="preserve">Xavier HUCHON ; </w:t>
            </w:r>
            <w:r>
              <w:t xml:space="preserve"> </w:t>
            </w:r>
            <w:hyperlink r:id="rId8" w:history="1">
              <w:r w:rsidR="00C45F1B" w:rsidRPr="00D40D8A">
                <w:rPr>
                  <w:rStyle w:val="Lienhypertexte"/>
                  <w:sz w:val="18"/>
                  <w:lang w:val="en-US"/>
                </w:rPr>
                <w:t>fs-westafrica.frc@croix-rouge.fr</w:t>
              </w:r>
            </w:hyperlink>
            <w:bookmarkStart w:id="0" w:name="_GoBack"/>
            <w:bookmarkEnd w:id="0"/>
          </w:p>
        </w:tc>
      </w:tr>
    </w:tbl>
    <w:p w:rsidR="009D1605" w:rsidRDefault="009D1605" w:rsidP="00E91EBC">
      <w:pPr>
        <w:jc w:val="center"/>
        <w:rPr>
          <w:noProof/>
          <w:lang w:val="fr-FR" w:eastAsia="fr-FR"/>
        </w:rPr>
      </w:pPr>
    </w:p>
    <w:sectPr w:rsidR="009D1605" w:rsidSect="00E25734">
      <w:head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84" w:rsidRDefault="00577484" w:rsidP="00044DD8">
      <w:r>
        <w:separator/>
      </w:r>
    </w:p>
  </w:endnote>
  <w:endnote w:type="continuationSeparator" w:id="0">
    <w:p w:rsidR="00577484" w:rsidRDefault="00577484" w:rsidP="000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84" w:rsidRDefault="00577484" w:rsidP="00044DD8">
      <w:r>
        <w:separator/>
      </w:r>
    </w:p>
  </w:footnote>
  <w:footnote w:type="continuationSeparator" w:id="0">
    <w:p w:rsidR="00577484" w:rsidRDefault="00577484" w:rsidP="0004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20" w:rsidRDefault="00A20B20" w:rsidP="00E91EBC">
    <w:pPr>
      <w:pStyle w:val="En-tte"/>
      <w:jc w:val="center"/>
    </w:pPr>
    <w:r>
      <w:rPr>
        <w:rFonts w:cs="Aharoni"/>
        <w:b/>
        <w:noProof/>
        <w:sz w:val="22"/>
        <w:lang w:val="fr-FR" w:eastAsia="fr-FR"/>
      </w:rPr>
      <w:drawing>
        <wp:inline distT="0" distB="0" distL="0" distR="0" wp14:anchorId="4D11A0EC" wp14:editId="385756AD">
          <wp:extent cx="4202430" cy="1245235"/>
          <wp:effectExtent l="0" t="0" r="7620" b="0"/>
          <wp:docPr id="1" name="Picture 2" descr="CaLP_head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P_heade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2430" cy="1245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7268"/>
    <w:multiLevelType w:val="hybridMultilevel"/>
    <w:tmpl w:val="23FE530C"/>
    <w:lvl w:ilvl="0" w:tplc="3F503E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F06A34"/>
    <w:multiLevelType w:val="hybridMultilevel"/>
    <w:tmpl w:val="5F92C934"/>
    <w:lvl w:ilvl="0" w:tplc="A7B2FC70">
      <w:start w:val="2"/>
      <w:numFmt w:val="bullet"/>
      <w:lvlText w:val="-"/>
      <w:lvlJc w:val="left"/>
      <w:pPr>
        <w:tabs>
          <w:tab w:val="num" w:pos="502"/>
        </w:tabs>
        <w:ind w:left="502" w:hanging="360"/>
      </w:pPr>
      <w:rPr>
        <w:rFonts w:ascii="Times New Roman" w:eastAsia="Times New Roman" w:hAnsi="Times New Roman" w:cs="Times New Roman" w:hint="default"/>
      </w:rPr>
    </w:lvl>
    <w:lvl w:ilvl="1" w:tplc="040C0003">
      <w:start w:val="1"/>
      <w:numFmt w:val="bullet"/>
      <w:lvlText w:val="o"/>
      <w:lvlJc w:val="left"/>
      <w:pPr>
        <w:tabs>
          <w:tab w:val="num" w:pos="1222"/>
        </w:tabs>
        <w:ind w:left="1222" w:hanging="360"/>
      </w:pPr>
      <w:rPr>
        <w:rFonts w:ascii="Courier New" w:hAnsi="Courier New" w:cs="Times New Roman"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cs="Times New Roman"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cs="Times New Roman"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2">
    <w:nsid w:val="3D604FE3"/>
    <w:multiLevelType w:val="hybridMultilevel"/>
    <w:tmpl w:val="07A0E2B8"/>
    <w:lvl w:ilvl="0" w:tplc="A64087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8C"/>
    <w:rsid w:val="00000257"/>
    <w:rsid w:val="00000969"/>
    <w:rsid w:val="00001F70"/>
    <w:rsid w:val="0000219A"/>
    <w:rsid w:val="00002D46"/>
    <w:rsid w:val="00003B71"/>
    <w:rsid w:val="000043AA"/>
    <w:rsid w:val="00005E9E"/>
    <w:rsid w:val="000060A4"/>
    <w:rsid w:val="00006E42"/>
    <w:rsid w:val="000105B2"/>
    <w:rsid w:val="00013FC3"/>
    <w:rsid w:val="00014EF7"/>
    <w:rsid w:val="00015DFF"/>
    <w:rsid w:val="00017383"/>
    <w:rsid w:val="0002142A"/>
    <w:rsid w:val="00022A68"/>
    <w:rsid w:val="000239B4"/>
    <w:rsid w:val="00023AA4"/>
    <w:rsid w:val="00023B3F"/>
    <w:rsid w:val="00024EA6"/>
    <w:rsid w:val="0002523C"/>
    <w:rsid w:val="00027B88"/>
    <w:rsid w:val="000308DF"/>
    <w:rsid w:val="00031016"/>
    <w:rsid w:val="00031599"/>
    <w:rsid w:val="00036482"/>
    <w:rsid w:val="0004063D"/>
    <w:rsid w:val="00041438"/>
    <w:rsid w:val="00041BBD"/>
    <w:rsid w:val="00042039"/>
    <w:rsid w:val="00043C20"/>
    <w:rsid w:val="00043FAF"/>
    <w:rsid w:val="00044D3B"/>
    <w:rsid w:val="00044DD8"/>
    <w:rsid w:val="00045C92"/>
    <w:rsid w:val="00046BB9"/>
    <w:rsid w:val="00046F41"/>
    <w:rsid w:val="0005080A"/>
    <w:rsid w:val="00050B94"/>
    <w:rsid w:val="00050FD2"/>
    <w:rsid w:val="000532D4"/>
    <w:rsid w:val="000551F6"/>
    <w:rsid w:val="000559B4"/>
    <w:rsid w:val="000571E0"/>
    <w:rsid w:val="00057204"/>
    <w:rsid w:val="00057FE4"/>
    <w:rsid w:val="0006038D"/>
    <w:rsid w:val="000603D0"/>
    <w:rsid w:val="00060FFD"/>
    <w:rsid w:val="0006310A"/>
    <w:rsid w:val="00064373"/>
    <w:rsid w:val="00064488"/>
    <w:rsid w:val="0006497D"/>
    <w:rsid w:val="00064CE8"/>
    <w:rsid w:val="000661BE"/>
    <w:rsid w:val="00072B1C"/>
    <w:rsid w:val="00076ACC"/>
    <w:rsid w:val="000772E9"/>
    <w:rsid w:val="0008220B"/>
    <w:rsid w:val="00082953"/>
    <w:rsid w:val="00084042"/>
    <w:rsid w:val="0008484D"/>
    <w:rsid w:val="000860DB"/>
    <w:rsid w:val="00086C0A"/>
    <w:rsid w:val="000913ED"/>
    <w:rsid w:val="000939AB"/>
    <w:rsid w:val="00093C97"/>
    <w:rsid w:val="000A2570"/>
    <w:rsid w:val="000A3476"/>
    <w:rsid w:val="000A5127"/>
    <w:rsid w:val="000A5A93"/>
    <w:rsid w:val="000A6423"/>
    <w:rsid w:val="000B29DF"/>
    <w:rsid w:val="000B352A"/>
    <w:rsid w:val="000B46DF"/>
    <w:rsid w:val="000B7C62"/>
    <w:rsid w:val="000C2048"/>
    <w:rsid w:val="000C3FE6"/>
    <w:rsid w:val="000C435A"/>
    <w:rsid w:val="000C555D"/>
    <w:rsid w:val="000C5B0D"/>
    <w:rsid w:val="000C68E8"/>
    <w:rsid w:val="000C7CD3"/>
    <w:rsid w:val="000D0BEE"/>
    <w:rsid w:val="000D2071"/>
    <w:rsid w:val="000D2222"/>
    <w:rsid w:val="000D25D4"/>
    <w:rsid w:val="000D3A33"/>
    <w:rsid w:val="000D4261"/>
    <w:rsid w:val="000D5820"/>
    <w:rsid w:val="000D5BC2"/>
    <w:rsid w:val="000D5F96"/>
    <w:rsid w:val="000E2DE4"/>
    <w:rsid w:val="000E3F31"/>
    <w:rsid w:val="000E45C8"/>
    <w:rsid w:val="000E5836"/>
    <w:rsid w:val="000F07D3"/>
    <w:rsid w:val="000F0E62"/>
    <w:rsid w:val="000F1FBE"/>
    <w:rsid w:val="000F2651"/>
    <w:rsid w:val="000F3AB9"/>
    <w:rsid w:val="000F3FC2"/>
    <w:rsid w:val="000F5075"/>
    <w:rsid w:val="000F5230"/>
    <w:rsid w:val="000F59C5"/>
    <w:rsid w:val="000F5ADF"/>
    <w:rsid w:val="000F6925"/>
    <w:rsid w:val="000F71F3"/>
    <w:rsid w:val="00100571"/>
    <w:rsid w:val="0010480C"/>
    <w:rsid w:val="00104A08"/>
    <w:rsid w:val="0010593C"/>
    <w:rsid w:val="0011085B"/>
    <w:rsid w:val="0011107E"/>
    <w:rsid w:val="001114B5"/>
    <w:rsid w:val="00115538"/>
    <w:rsid w:val="00116FBB"/>
    <w:rsid w:val="0012086C"/>
    <w:rsid w:val="001220B0"/>
    <w:rsid w:val="00122EA7"/>
    <w:rsid w:val="0012779D"/>
    <w:rsid w:val="00127DDF"/>
    <w:rsid w:val="001356B5"/>
    <w:rsid w:val="001362EF"/>
    <w:rsid w:val="001415E1"/>
    <w:rsid w:val="0014368C"/>
    <w:rsid w:val="00144082"/>
    <w:rsid w:val="00146318"/>
    <w:rsid w:val="00146B57"/>
    <w:rsid w:val="001520AF"/>
    <w:rsid w:val="001543E5"/>
    <w:rsid w:val="00156E0E"/>
    <w:rsid w:val="00157FED"/>
    <w:rsid w:val="00162B00"/>
    <w:rsid w:val="00162C6B"/>
    <w:rsid w:val="00163939"/>
    <w:rsid w:val="00166465"/>
    <w:rsid w:val="001667FF"/>
    <w:rsid w:val="00166909"/>
    <w:rsid w:val="00167567"/>
    <w:rsid w:val="00167598"/>
    <w:rsid w:val="0017108B"/>
    <w:rsid w:val="001725C1"/>
    <w:rsid w:val="00173E90"/>
    <w:rsid w:val="00173FDA"/>
    <w:rsid w:val="00177805"/>
    <w:rsid w:val="001801DF"/>
    <w:rsid w:val="00180AB7"/>
    <w:rsid w:val="00181837"/>
    <w:rsid w:val="0018395A"/>
    <w:rsid w:val="00190585"/>
    <w:rsid w:val="00192452"/>
    <w:rsid w:val="00193E14"/>
    <w:rsid w:val="0019476C"/>
    <w:rsid w:val="001978CC"/>
    <w:rsid w:val="00197E09"/>
    <w:rsid w:val="001A06C3"/>
    <w:rsid w:val="001A30B7"/>
    <w:rsid w:val="001A36F1"/>
    <w:rsid w:val="001A56E0"/>
    <w:rsid w:val="001A5FAE"/>
    <w:rsid w:val="001A6FDF"/>
    <w:rsid w:val="001B0457"/>
    <w:rsid w:val="001B07C0"/>
    <w:rsid w:val="001B09CC"/>
    <w:rsid w:val="001B1D44"/>
    <w:rsid w:val="001B216A"/>
    <w:rsid w:val="001B2AFE"/>
    <w:rsid w:val="001B2D09"/>
    <w:rsid w:val="001B7BD4"/>
    <w:rsid w:val="001B7F32"/>
    <w:rsid w:val="001C2971"/>
    <w:rsid w:val="001C2A87"/>
    <w:rsid w:val="001C3AF7"/>
    <w:rsid w:val="001C5E8F"/>
    <w:rsid w:val="001D35AA"/>
    <w:rsid w:val="001D4D6D"/>
    <w:rsid w:val="001D7BE5"/>
    <w:rsid w:val="001E524E"/>
    <w:rsid w:val="001E71F3"/>
    <w:rsid w:val="001E7EB8"/>
    <w:rsid w:val="001F332E"/>
    <w:rsid w:val="001F3F70"/>
    <w:rsid w:val="001F4C9B"/>
    <w:rsid w:val="001F5345"/>
    <w:rsid w:val="00201408"/>
    <w:rsid w:val="0020662C"/>
    <w:rsid w:val="002077E1"/>
    <w:rsid w:val="002101BA"/>
    <w:rsid w:val="00211220"/>
    <w:rsid w:val="0021337B"/>
    <w:rsid w:val="00213F98"/>
    <w:rsid w:val="00217F8B"/>
    <w:rsid w:val="00220912"/>
    <w:rsid w:val="00221A60"/>
    <w:rsid w:val="002232DA"/>
    <w:rsid w:val="00230F96"/>
    <w:rsid w:val="002311BA"/>
    <w:rsid w:val="00231F08"/>
    <w:rsid w:val="00232248"/>
    <w:rsid w:val="0023528D"/>
    <w:rsid w:val="002378CB"/>
    <w:rsid w:val="002401BA"/>
    <w:rsid w:val="00241C22"/>
    <w:rsid w:val="0024294B"/>
    <w:rsid w:val="00244524"/>
    <w:rsid w:val="0024488C"/>
    <w:rsid w:val="002462AA"/>
    <w:rsid w:val="00250E37"/>
    <w:rsid w:val="00251A45"/>
    <w:rsid w:val="00251D21"/>
    <w:rsid w:val="00252149"/>
    <w:rsid w:val="00252B9E"/>
    <w:rsid w:val="00253781"/>
    <w:rsid w:val="00255193"/>
    <w:rsid w:val="00255264"/>
    <w:rsid w:val="002565AF"/>
    <w:rsid w:val="002579D7"/>
    <w:rsid w:val="002639CE"/>
    <w:rsid w:val="0026421C"/>
    <w:rsid w:val="002673AF"/>
    <w:rsid w:val="002701DC"/>
    <w:rsid w:val="002702DF"/>
    <w:rsid w:val="00270566"/>
    <w:rsid w:val="00272C1D"/>
    <w:rsid w:val="002734B6"/>
    <w:rsid w:val="00273594"/>
    <w:rsid w:val="002746FD"/>
    <w:rsid w:val="002767DF"/>
    <w:rsid w:val="002774CD"/>
    <w:rsid w:val="0027782B"/>
    <w:rsid w:val="00281476"/>
    <w:rsid w:val="002814FC"/>
    <w:rsid w:val="002819CD"/>
    <w:rsid w:val="00281C16"/>
    <w:rsid w:val="00282902"/>
    <w:rsid w:val="00283DE9"/>
    <w:rsid w:val="002862EE"/>
    <w:rsid w:val="002879C2"/>
    <w:rsid w:val="00287CFA"/>
    <w:rsid w:val="00287D10"/>
    <w:rsid w:val="002918D1"/>
    <w:rsid w:val="00296B89"/>
    <w:rsid w:val="002A1521"/>
    <w:rsid w:val="002A251A"/>
    <w:rsid w:val="002A280B"/>
    <w:rsid w:val="002A3369"/>
    <w:rsid w:val="002A42AA"/>
    <w:rsid w:val="002A6A14"/>
    <w:rsid w:val="002B13F6"/>
    <w:rsid w:val="002B1CDA"/>
    <w:rsid w:val="002B2199"/>
    <w:rsid w:val="002B2D77"/>
    <w:rsid w:val="002B59C6"/>
    <w:rsid w:val="002B7B71"/>
    <w:rsid w:val="002C14FF"/>
    <w:rsid w:val="002C2697"/>
    <w:rsid w:val="002C27F2"/>
    <w:rsid w:val="002C2E34"/>
    <w:rsid w:val="002C35D1"/>
    <w:rsid w:val="002C3792"/>
    <w:rsid w:val="002C3DA5"/>
    <w:rsid w:val="002C4C5F"/>
    <w:rsid w:val="002D02FB"/>
    <w:rsid w:val="002D28EC"/>
    <w:rsid w:val="002D2B9D"/>
    <w:rsid w:val="002D3047"/>
    <w:rsid w:val="002D5DD5"/>
    <w:rsid w:val="002E15EF"/>
    <w:rsid w:val="002E250C"/>
    <w:rsid w:val="002E4234"/>
    <w:rsid w:val="002E5320"/>
    <w:rsid w:val="002E6B4E"/>
    <w:rsid w:val="002E6BA0"/>
    <w:rsid w:val="002F0097"/>
    <w:rsid w:val="002F02AA"/>
    <w:rsid w:val="002F14B2"/>
    <w:rsid w:val="002F4EA1"/>
    <w:rsid w:val="002F53F2"/>
    <w:rsid w:val="002F7C27"/>
    <w:rsid w:val="00300077"/>
    <w:rsid w:val="00303B14"/>
    <w:rsid w:val="003053F6"/>
    <w:rsid w:val="00306797"/>
    <w:rsid w:val="003068D9"/>
    <w:rsid w:val="003073D0"/>
    <w:rsid w:val="00307782"/>
    <w:rsid w:val="003107F9"/>
    <w:rsid w:val="003118CB"/>
    <w:rsid w:val="0031217A"/>
    <w:rsid w:val="0031423C"/>
    <w:rsid w:val="0031520C"/>
    <w:rsid w:val="00315689"/>
    <w:rsid w:val="0031672A"/>
    <w:rsid w:val="003171EC"/>
    <w:rsid w:val="00317AAC"/>
    <w:rsid w:val="003245E1"/>
    <w:rsid w:val="0032504D"/>
    <w:rsid w:val="00325C08"/>
    <w:rsid w:val="00326152"/>
    <w:rsid w:val="00326AC7"/>
    <w:rsid w:val="003307B6"/>
    <w:rsid w:val="00331683"/>
    <w:rsid w:val="003323D5"/>
    <w:rsid w:val="00332AFA"/>
    <w:rsid w:val="00333572"/>
    <w:rsid w:val="003342F6"/>
    <w:rsid w:val="00334BFC"/>
    <w:rsid w:val="00334EA1"/>
    <w:rsid w:val="003372F3"/>
    <w:rsid w:val="003417D7"/>
    <w:rsid w:val="00342B7F"/>
    <w:rsid w:val="00343A50"/>
    <w:rsid w:val="00346843"/>
    <w:rsid w:val="00352050"/>
    <w:rsid w:val="00352D9E"/>
    <w:rsid w:val="0035344A"/>
    <w:rsid w:val="0035457E"/>
    <w:rsid w:val="00354F5A"/>
    <w:rsid w:val="00357732"/>
    <w:rsid w:val="0036026B"/>
    <w:rsid w:val="00360614"/>
    <w:rsid w:val="003620B7"/>
    <w:rsid w:val="00362AB0"/>
    <w:rsid w:val="00363528"/>
    <w:rsid w:val="00366EC0"/>
    <w:rsid w:val="0036722A"/>
    <w:rsid w:val="0036748C"/>
    <w:rsid w:val="00367D52"/>
    <w:rsid w:val="00373D5B"/>
    <w:rsid w:val="00377556"/>
    <w:rsid w:val="003779B7"/>
    <w:rsid w:val="00380E8B"/>
    <w:rsid w:val="00381BF1"/>
    <w:rsid w:val="00383A65"/>
    <w:rsid w:val="00386BB0"/>
    <w:rsid w:val="00387CEE"/>
    <w:rsid w:val="00390421"/>
    <w:rsid w:val="003907E1"/>
    <w:rsid w:val="003914BA"/>
    <w:rsid w:val="00391579"/>
    <w:rsid w:val="003916A2"/>
    <w:rsid w:val="0039243F"/>
    <w:rsid w:val="00392A69"/>
    <w:rsid w:val="00392A99"/>
    <w:rsid w:val="003949AE"/>
    <w:rsid w:val="0039672D"/>
    <w:rsid w:val="003A0346"/>
    <w:rsid w:val="003A1B53"/>
    <w:rsid w:val="003A4D3D"/>
    <w:rsid w:val="003A53FC"/>
    <w:rsid w:val="003A55B9"/>
    <w:rsid w:val="003A5754"/>
    <w:rsid w:val="003B085A"/>
    <w:rsid w:val="003B2480"/>
    <w:rsid w:val="003B25D8"/>
    <w:rsid w:val="003B4CED"/>
    <w:rsid w:val="003B561F"/>
    <w:rsid w:val="003B5F86"/>
    <w:rsid w:val="003B60C1"/>
    <w:rsid w:val="003C1AA9"/>
    <w:rsid w:val="003C22BF"/>
    <w:rsid w:val="003C2816"/>
    <w:rsid w:val="003C34DE"/>
    <w:rsid w:val="003C573A"/>
    <w:rsid w:val="003C5A10"/>
    <w:rsid w:val="003C632B"/>
    <w:rsid w:val="003C6BF8"/>
    <w:rsid w:val="003C7516"/>
    <w:rsid w:val="003D0DE2"/>
    <w:rsid w:val="003D3E75"/>
    <w:rsid w:val="003D439C"/>
    <w:rsid w:val="003E43CF"/>
    <w:rsid w:val="003E5749"/>
    <w:rsid w:val="003F2A70"/>
    <w:rsid w:val="003F2F1B"/>
    <w:rsid w:val="003F3142"/>
    <w:rsid w:val="003F3FD5"/>
    <w:rsid w:val="003F486E"/>
    <w:rsid w:val="003F53A8"/>
    <w:rsid w:val="00410EE9"/>
    <w:rsid w:val="00411E26"/>
    <w:rsid w:val="00412A39"/>
    <w:rsid w:val="004138A9"/>
    <w:rsid w:val="00414745"/>
    <w:rsid w:val="00417063"/>
    <w:rsid w:val="004170A1"/>
    <w:rsid w:val="00421004"/>
    <w:rsid w:val="0042511C"/>
    <w:rsid w:val="00425618"/>
    <w:rsid w:val="00425D95"/>
    <w:rsid w:val="00426E92"/>
    <w:rsid w:val="0042729E"/>
    <w:rsid w:val="00431AED"/>
    <w:rsid w:val="00433462"/>
    <w:rsid w:val="00434D16"/>
    <w:rsid w:val="00435E36"/>
    <w:rsid w:val="00435F54"/>
    <w:rsid w:val="0043663D"/>
    <w:rsid w:val="00437C71"/>
    <w:rsid w:val="00437F06"/>
    <w:rsid w:val="00437F4A"/>
    <w:rsid w:val="00440D0B"/>
    <w:rsid w:val="00442397"/>
    <w:rsid w:val="00444A4B"/>
    <w:rsid w:val="00444E47"/>
    <w:rsid w:val="0044550F"/>
    <w:rsid w:val="004508D3"/>
    <w:rsid w:val="00450A8A"/>
    <w:rsid w:val="004528DD"/>
    <w:rsid w:val="004541FE"/>
    <w:rsid w:val="004549A8"/>
    <w:rsid w:val="0045526B"/>
    <w:rsid w:val="004565A1"/>
    <w:rsid w:val="004568DB"/>
    <w:rsid w:val="00457162"/>
    <w:rsid w:val="00462042"/>
    <w:rsid w:val="00463F23"/>
    <w:rsid w:val="00466B28"/>
    <w:rsid w:val="00472AF3"/>
    <w:rsid w:val="00473C8A"/>
    <w:rsid w:val="0048046B"/>
    <w:rsid w:val="00480B82"/>
    <w:rsid w:val="00481350"/>
    <w:rsid w:val="0048368A"/>
    <w:rsid w:val="00484804"/>
    <w:rsid w:val="00485154"/>
    <w:rsid w:val="00486047"/>
    <w:rsid w:val="00486330"/>
    <w:rsid w:val="00486608"/>
    <w:rsid w:val="00487104"/>
    <w:rsid w:val="00490266"/>
    <w:rsid w:val="00490CBF"/>
    <w:rsid w:val="004932D9"/>
    <w:rsid w:val="00496862"/>
    <w:rsid w:val="004A068F"/>
    <w:rsid w:val="004A296F"/>
    <w:rsid w:val="004A5E79"/>
    <w:rsid w:val="004A6E70"/>
    <w:rsid w:val="004A7AAA"/>
    <w:rsid w:val="004A7DDA"/>
    <w:rsid w:val="004B25C4"/>
    <w:rsid w:val="004B38DE"/>
    <w:rsid w:val="004B3F9E"/>
    <w:rsid w:val="004B581B"/>
    <w:rsid w:val="004B5C61"/>
    <w:rsid w:val="004B774F"/>
    <w:rsid w:val="004B7DBA"/>
    <w:rsid w:val="004C0259"/>
    <w:rsid w:val="004C209E"/>
    <w:rsid w:val="004C23F5"/>
    <w:rsid w:val="004C34DA"/>
    <w:rsid w:val="004C3B62"/>
    <w:rsid w:val="004D1906"/>
    <w:rsid w:val="004D2F9F"/>
    <w:rsid w:val="004D3938"/>
    <w:rsid w:val="004D45F2"/>
    <w:rsid w:val="004E0162"/>
    <w:rsid w:val="004E1266"/>
    <w:rsid w:val="004E24E3"/>
    <w:rsid w:val="004E3810"/>
    <w:rsid w:val="004E705C"/>
    <w:rsid w:val="004F28B0"/>
    <w:rsid w:val="004F42B0"/>
    <w:rsid w:val="004F6D92"/>
    <w:rsid w:val="005005F1"/>
    <w:rsid w:val="00500CB4"/>
    <w:rsid w:val="00504D5F"/>
    <w:rsid w:val="0050597B"/>
    <w:rsid w:val="005067D4"/>
    <w:rsid w:val="005116C1"/>
    <w:rsid w:val="00514CBB"/>
    <w:rsid w:val="00514F9B"/>
    <w:rsid w:val="00515E89"/>
    <w:rsid w:val="005166BD"/>
    <w:rsid w:val="00517029"/>
    <w:rsid w:val="00517EAA"/>
    <w:rsid w:val="00517FD0"/>
    <w:rsid w:val="00520A5E"/>
    <w:rsid w:val="005215E9"/>
    <w:rsid w:val="0052337D"/>
    <w:rsid w:val="005233B8"/>
    <w:rsid w:val="00526FC1"/>
    <w:rsid w:val="005319A6"/>
    <w:rsid w:val="00531B04"/>
    <w:rsid w:val="00534BB1"/>
    <w:rsid w:val="0053709A"/>
    <w:rsid w:val="0053770F"/>
    <w:rsid w:val="00537D0E"/>
    <w:rsid w:val="005419F8"/>
    <w:rsid w:val="00542C8B"/>
    <w:rsid w:val="005439AD"/>
    <w:rsid w:val="00553A20"/>
    <w:rsid w:val="00555ECD"/>
    <w:rsid w:val="00555FF3"/>
    <w:rsid w:val="005649F9"/>
    <w:rsid w:val="00566988"/>
    <w:rsid w:val="0056748C"/>
    <w:rsid w:val="005700E2"/>
    <w:rsid w:val="0057028D"/>
    <w:rsid w:val="005703C7"/>
    <w:rsid w:val="005705C3"/>
    <w:rsid w:val="00577484"/>
    <w:rsid w:val="00581A25"/>
    <w:rsid w:val="005824E9"/>
    <w:rsid w:val="005831F2"/>
    <w:rsid w:val="00583D01"/>
    <w:rsid w:val="00584BDE"/>
    <w:rsid w:val="00591A4D"/>
    <w:rsid w:val="0059381A"/>
    <w:rsid w:val="00595346"/>
    <w:rsid w:val="00596D07"/>
    <w:rsid w:val="005974B2"/>
    <w:rsid w:val="005A1817"/>
    <w:rsid w:val="005A49C3"/>
    <w:rsid w:val="005A6602"/>
    <w:rsid w:val="005A708F"/>
    <w:rsid w:val="005B01A4"/>
    <w:rsid w:val="005B20C2"/>
    <w:rsid w:val="005B2A6A"/>
    <w:rsid w:val="005B482A"/>
    <w:rsid w:val="005B5DB4"/>
    <w:rsid w:val="005C1C7A"/>
    <w:rsid w:val="005C23E2"/>
    <w:rsid w:val="005C6EB5"/>
    <w:rsid w:val="005C7170"/>
    <w:rsid w:val="005C77AA"/>
    <w:rsid w:val="005C7E43"/>
    <w:rsid w:val="005D2CAA"/>
    <w:rsid w:val="005D61BC"/>
    <w:rsid w:val="005D79FF"/>
    <w:rsid w:val="005E145B"/>
    <w:rsid w:val="005E5401"/>
    <w:rsid w:val="005E55B4"/>
    <w:rsid w:val="005E5919"/>
    <w:rsid w:val="005E6414"/>
    <w:rsid w:val="005E65DA"/>
    <w:rsid w:val="005F0122"/>
    <w:rsid w:val="005F03BC"/>
    <w:rsid w:val="005F1301"/>
    <w:rsid w:val="005F1A4E"/>
    <w:rsid w:val="005F3033"/>
    <w:rsid w:val="005F3C1B"/>
    <w:rsid w:val="005F3F78"/>
    <w:rsid w:val="005F66AC"/>
    <w:rsid w:val="005F7DC3"/>
    <w:rsid w:val="0060097F"/>
    <w:rsid w:val="0060113B"/>
    <w:rsid w:val="006036D2"/>
    <w:rsid w:val="00603BFA"/>
    <w:rsid w:val="00604569"/>
    <w:rsid w:val="0060509C"/>
    <w:rsid w:val="00605A79"/>
    <w:rsid w:val="00606164"/>
    <w:rsid w:val="00610D74"/>
    <w:rsid w:val="006118F4"/>
    <w:rsid w:val="00611DAA"/>
    <w:rsid w:val="0061267E"/>
    <w:rsid w:val="00615DF5"/>
    <w:rsid w:val="006163E9"/>
    <w:rsid w:val="00620336"/>
    <w:rsid w:val="006209A8"/>
    <w:rsid w:val="0062143E"/>
    <w:rsid w:val="00621B88"/>
    <w:rsid w:val="00622210"/>
    <w:rsid w:val="00625A7E"/>
    <w:rsid w:val="00625E71"/>
    <w:rsid w:val="00626DD6"/>
    <w:rsid w:val="006271DA"/>
    <w:rsid w:val="00631399"/>
    <w:rsid w:val="00631EA9"/>
    <w:rsid w:val="0063418E"/>
    <w:rsid w:val="006358A2"/>
    <w:rsid w:val="00640043"/>
    <w:rsid w:val="00640B53"/>
    <w:rsid w:val="0064281C"/>
    <w:rsid w:val="00642FC4"/>
    <w:rsid w:val="00650873"/>
    <w:rsid w:val="0065270B"/>
    <w:rsid w:val="00652C8B"/>
    <w:rsid w:val="00654964"/>
    <w:rsid w:val="00655DCB"/>
    <w:rsid w:val="00657BDD"/>
    <w:rsid w:val="0066025F"/>
    <w:rsid w:val="006604A2"/>
    <w:rsid w:val="006621A5"/>
    <w:rsid w:val="00671557"/>
    <w:rsid w:val="00672215"/>
    <w:rsid w:val="00672555"/>
    <w:rsid w:val="00675443"/>
    <w:rsid w:val="0067798C"/>
    <w:rsid w:val="00681201"/>
    <w:rsid w:val="006813DC"/>
    <w:rsid w:val="00686657"/>
    <w:rsid w:val="0068693D"/>
    <w:rsid w:val="00691C65"/>
    <w:rsid w:val="00693CBB"/>
    <w:rsid w:val="00695BEB"/>
    <w:rsid w:val="00696721"/>
    <w:rsid w:val="00697028"/>
    <w:rsid w:val="00697C4C"/>
    <w:rsid w:val="00697F7A"/>
    <w:rsid w:val="006A11D1"/>
    <w:rsid w:val="006A222E"/>
    <w:rsid w:val="006A26F1"/>
    <w:rsid w:val="006A74A1"/>
    <w:rsid w:val="006B1D6D"/>
    <w:rsid w:val="006B233C"/>
    <w:rsid w:val="006C07B6"/>
    <w:rsid w:val="006C0BB5"/>
    <w:rsid w:val="006C4CB7"/>
    <w:rsid w:val="006C54C4"/>
    <w:rsid w:val="006C594A"/>
    <w:rsid w:val="006C5B6E"/>
    <w:rsid w:val="006C5E68"/>
    <w:rsid w:val="006C69DA"/>
    <w:rsid w:val="006C6FAA"/>
    <w:rsid w:val="006D02BD"/>
    <w:rsid w:val="006D1FA1"/>
    <w:rsid w:val="006D2883"/>
    <w:rsid w:val="006D534F"/>
    <w:rsid w:val="006D7F5F"/>
    <w:rsid w:val="006E1A03"/>
    <w:rsid w:val="006E4712"/>
    <w:rsid w:val="006E7667"/>
    <w:rsid w:val="006F0492"/>
    <w:rsid w:val="006F14A8"/>
    <w:rsid w:val="006F3D28"/>
    <w:rsid w:val="006F7D5D"/>
    <w:rsid w:val="007027FB"/>
    <w:rsid w:val="00702D32"/>
    <w:rsid w:val="0070712B"/>
    <w:rsid w:val="007116BA"/>
    <w:rsid w:val="00711B6A"/>
    <w:rsid w:val="00712206"/>
    <w:rsid w:val="00712DE0"/>
    <w:rsid w:val="00712E3E"/>
    <w:rsid w:val="0071366E"/>
    <w:rsid w:val="00713D77"/>
    <w:rsid w:val="007159BB"/>
    <w:rsid w:val="00720755"/>
    <w:rsid w:val="0072091F"/>
    <w:rsid w:val="00722910"/>
    <w:rsid w:val="00722D08"/>
    <w:rsid w:val="007251AD"/>
    <w:rsid w:val="00726AAF"/>
    <w:rsid w:val="00726F0F"/>
    <w:rsid w:val="00730BA6"/>
    <w:rsid w:val="00731E15"/>
    <w:rsid w:val="00732930"/>
    <w:rsid w:val="00732D3B"/>
    <w:rsid w:val="007351DC"/>
    <w:rsid w:val="00735647"/>
    <w:rsid w:val="00735FAD"/>
    <w:rsid w:val="0074187E"/>
    <w:rsid w:val="00744D12"/>
    <w:rsid w:val="00747A4A"/>
    <w:rsid w:val="0075042E"/>
    <w:rsid w:val="00753848"/>
    <w:rsid w:val="00760822"/>
    <w:rsid w:val="007613B2"/>
    <w:rsid w:val="00761CC3"/>
    <w:rsid w:val="007640ED"/>
    <w:rsid w:val="007644AE"/>
    <w:rsid w:val="00766DF0"/>
    <w:rsid w:val="00766E9F"/>
    <w:rsid w:val="0077177D"/>
    <w:rsid w:val="00782C58"/>
    <w:rsid w:val="00790468"/>
    <w:rsid w:val="007919A3"/>
    <w:rsid w:val="00793261"/>
    <w:rsid w:val="00793620"/>
    <w:rsid w:val="007955A1"/>
    <w:rsid w:val="00796089"/>
    <w:rsid w:val="00796133"/>
    <w:rsid w:val="007A33BD"/>
    <w:rsid w:val="007A3863"/>
    <w:rsid w:val="007A58D7"/>
    <w:rsid w:val="007A6544"/>
    <w:rsid w:val="007B04A8"/>
    <w:rsid w:val="007B05CB"/>
    <w:rsid w:val="007B39E5"/>
    <w:rsid w:val="007B692F"/>
    <w:rsid w:val="007B7A87"/>
    <w:rsid w:val="007C0D20"/>
    <w:rsid w:val="007C1FB5"/>
    <w:rsid w:val="007C5168"/>
    <w:rsid w:val="007C5870"/>
    <w:rsid w:val="007C6F6D"/>
    <w:rsid w:val="007C7258"/>
    <w:rsid w:val="007D0BFB"/>
    <w:rsid w:val="007D1A37"/>
    <w:rsid w:val="007D2DED"/>
    <w:rsid w:val="007D35A6"/>
    <w:rsid w:val="007D40B3"/>
    <w:rsid w:val="007D4293"/>
    <w:rsid w:val="007D7034"/>
    <w:rsid w:val="007E1901"/>
    <w:rsid w:val="007E1D8D"/>
    <w:rsid w:val="007E36B9"/>
    <w:rsid w:val="007E6A8C"/>
    <w:rsid w:val="007F0157"/>
    <w:rsid w:val="007F0315"/>
    <w:rsid w:val="007F1FC2"/>
    <w:rsid w:val="007F38C9"/>
    <w:rsid w:val="007F6265"/>
    <w:rsid w:val="007F79BE"/>
    <w:rsid w:val="007F7B1B"/>
    <w:rsid w:val="00800C75"/>
    <w:rsid w:val="00802693"/>
    <w:rsid w:val="0080306E"/>
    <w:rsid w:val="00806E92"/>
    <w:rsid w:val="00811DC4"/>
    <w:rsid w:val="00814BF1"/>
    <w:rsid w:val="0081571A"/>
    <w:rsid w:val="0081649E"/>
    <w:rsid w:val="00816502"/>
    <w:rsid w:val="0081699F"/>
    <w:rsid w:val="0082046A"/>
    <w:rsid w:val="00820C73"/>
    <w:rsid w:val="00820FED"/>
    <w:rsid w:val="00825063"/>
    <w:rsid w:val="00825D17"/>
    <w:rsid w:val="00826943"/>
    <w:rsid w:val="00830A2B"/>
    <w:rsid w:val="00832301"/>
    <w:rsid w:val="00832A84"/>
    <w:rsid w:val="00836588"/>
    <w:rsid w:val="008370BE"/>
    <w:rsid w:val="00837F7E"/>
    <w:rsid w:val="00842AB3"/>
    <w:rsid w:val="00846015"/>
    <w:rsid w:val="0084777D"/>
    <w:rsid w:val="00851859"/>
    <w:rsid w:val="00851B04"/>
    <w:rsid w:val="00852ECD"/>
    <w:rsid w:val="00854170"/>
    <w:rsid w:val="00856AB6"/>
    <w:rsid w:val="00856BFF"/>
    <w:rsid w:val="0086091D"/>
    <w:rsid w:val="00860CB8"/>
    <w:rsid w:val="00862821"/>
    <w:rsid w:val="00862EB8"/>
    <w:rsid w:val="00865EF8"/>
    <w:rsid w:val="00866B25"/>
    <w:rsid w:val="008708D4"/>
    <w:rsid w:val="00870DFA"/>
    <w:rsid w:val="00872086"/>
    <w:rsid w:val="00874C92"/>
    <w:rsid w:val="0087681B"/>
    <w:rsid w:val="008770F6"/>
    <w:rsid w:val="00880991"/>
    <w:rsid w:val="008818C1"/>
    <w:rsid w:val="0088282C"/>
    <w:rsid w:val="008839A4"/>
    <w:rsid w:val="00887C48"/>
    <w:rsid w:val="00890FBC"/>
    <w:rsid w:val="0089151D"/>
    <w:rsid w:val="008933B9"/>
    <w:rsid w:val="00893FB4"/>
    <w:rsid w:val="00895C2B"/>
    <w:rsid w:val="00897F10"/>
    <w:rsid w:val="008A297C"/>
    <w:rsid w:val="008A4647"/>
    <w:rsid w:val="008A4C47"/>
    <w:rsid w:val="008A555B"/>
    <w:rsid w:val="008B1C60"/>
    <w:rsid w:val="008B45C5"/>
    <w:rsid w:val="008B47F6"/>
    <w:rsid w:val="008C00D5"/>
    <w:rsid w:val="008C123A"/>
    <w:rsid w:val="008C3438"/>
    <w:rsid w:val="008C42C5"/>
    <w:rsid w:val="008C44F7"/>
    <w:rsid w:val="008C4FEC"/>
    <w:rsid w:val="008D139F"/>
    <w:rsid w:val="008D5958"/>
    <w:rsid w:val="008D7F08"/>
    <w:rsid w:val="008E046E"/>
    <w:rsid w:val="008E2AB8"/>
    <w:rsid w:val="008E2FFD"/>
    <w:rsid w:val="008E303E"/>
    <w:rsid w:val="008E3C8B"/>
    <w:rsid w:val="008E497B"/>
    <w:rsid w:val="008E59AC"/>
    <w:rsid w:val="008E5CBF"/>
    <w:rsid w:val="008F2F13"/>
    <w:rsid w:val="008F6DFA"/>
    <w:rsid w:val="00900ABB"/>
    <w:rsid w:val="00901EE1"/>
    <w:rsid w:val="00901F3D"/>
    <w:rsid w:val="009041A7"/>
    <w:rsid w:val="009041B2"/>
    <w:rsid w:val="00904C73"/>
    <w:rsid w:val="0090666E"/>
    <w:rsid w:val="00906F8A"/>
    <w:rsid w:val="00911657"/>
    <w:rsid w:val="00913632"/>
    <w:rsid w:val="009137BF"/>
    <w:rsid w:val="00917970"/>
    <w:rsid w:val="00920851"/>
    <w:rsid w:val="0092122B"/>
    <w:rsid w:val="009212DC"/>
    <w:rsid w:val="0092183F"/>
    <w:rsid w:val="00922C6F"/>
    <w:rsid w:val="00922E5A"/>
    <w:rsid w:val="00924C2B"/>
    <w:rsid w:val="00924C51"/>
    <w:rsid w:val="0092607C"/>
    <w:rsid w:val="0092627C"/>
    <w:rsid w:val="00926307"/>
    <w:rsid w:val="00930A5A"/>
    <w:rsid w:val="00930C21"/>
    <w:rsid w:val="009320D8"/>
    <w:rsid w:val="0093256A"/>
    <w:rsid w:val="0093326E"/>
    <w:rsid w:val="009335C7"/>
    <w:rsid w:val="00934100"/>
    <w:rsid w:val="0093434D"/>
    <w:rsid w:val="0093628A"/>
    <w:rsid w:val="00936D37"/>
    <w:rsid w:val="0094082B"/>
    <w:rsid w:val="00940B6D"/>
    <w:rsid w:val="00945383"/>
    <w:rsid w:val="009474CA"/>
    <w:rsid w:val="009479F1"/>
    <w:rsid w:val="00950095"/>
    <w:rsid w:val="00950B62"/>
    <w:rsid w:val="00951044"/>
    <w:rsid w:val="009517D2"/>
    <w:rsid w:val="00952FF0"/>
    <w:rsid w:val="009530BB"/>
    <w:rsid w:val="00957122"/>
    <w:rsid w:val="009571CF"/>
    <w:rsid w:val="00962D0B"/>
    <w:rsid w:val="00963A92"/>
    <w:rsid w:val="00965600"/>
    <w:rsid w:val="0097154A"/>
    <w:rsid w:val="00971664"/>
    <w:rsid w:val="009716D9"/>
    <w:rsid w:val="00971DF3"/>
    <w:rsid w:val="00973257"/>
    <w:rsid w:val="009732A8"/>
    <w:rsid w:val="009738C6"/>
    <w:rsid w:val="00975192"/>
    <w:rsid w:val="009754B1"/>
    <w:rsid w:val="00977A8B"/>
    <w:rsid w:val="0098155B"/>
    <w:rsid w:val="0098305F"/>
    <w:rsid w:val="009831BD"/>
    <w:rsid w:val="00984A12"/>
    <w:rsid w:val="009857F5"/>
    <w:rsid w:val="00987386"/>
    <w:rsid w:val="00990AF4"/>
    <w:rsid w:val="00991539"/>
    <w:rsid w:val="0099169C"/>
    <w:rsid w:val="0099451E"/>
    <w:rsid w:val="009960F4"/>
    <w:rsid w:val="009A135F"/>
    <w:rsid w:val="009A2E65"/>
    <w:rsid w:val="009A735F"/>
    <w:rsid w:val="009B0684"/>
    <w:rsid w:val="009B1034"/>
    <w:rsid w:val="009B2566"/>
    <w:rsid w:val="009B56DB"/>
    <w:rsid w:val="009B6B4B"/>
    <w:rsid w:val="009C090B"/>
    <w:rsid w:val="009C0A48"/>
    <w:rsid w:val="009C0E30"/>
    <w:rsid w:val="009C2807"/>
    <w:rsid w:val="009C2F5A"/>
    <w:rsid w:val="009C31AB"/>
    <w:rsid w:val="009C38D1"/>
    <w:rsid w:val="009C4CE7"/>
    <w:rsid w:val="009C4FB0"/>
    <w:rsid w:val="009C76A6"/>
    <w:rsid w:val="009D0D6F"/>
    <w:rsid w:val="009D1605"/>
    <w:rsid w:val="009D1636"/>
    <w:rsid w:val="009D180E"/>
    <w:rsid w:val="009D52FD"/>
    <w:rsid w:val="009D56AB"/>
    <w:rsid w:val="009D5F61"/>
    <w:rsid w:val="009E245A"/>
    <w:rsid w:val="009E2B07"/>
    <w:rsid w:val="009E3403"/>
    <w:rsid w:val="009E4480"/>
    <w:rsid w:val="009E571B"/>
    <w:rsid w:val="009E757B"/>
    <w:rsid w:val="009E7C8B"/>
    <w:rsid w:val="009F0D67"/>
    <w:rsid w:val="009F1BE1"/>
    <w:rsid w:val="009F6D02"/>
    <w:rsid w:val="00A039EA"/>
    <w:rsid w:val="00A03F72"/>
    <w:rsid w:val="00A0489F"/>
    <w:rsid w:val="00A115E6"/>
    <w:rsid w:val="00A11C6A"/>
    <w:rsid w:val="00A123AA"/>
    <w:rsid w:val="00A13D34"/>
    <w:rsid w:val="00A1789E"/>
    <w:rsid w:val="00A20861"/>
    <w:rsid w:val="00A20B20"/>
    <w:rsid w:val="00A21C7C"/>
    <w:rsid w:val="00A268DA"/>
    <w:rsid w:val="00A273EE"/>
    <w:rsid w:val="00A27705"/>
    <w:rsid w:val="00A305AE"/>
    <w:rsid w:val="00A32846"/>
    <w:rsid w:val="00A32D5D"/>
    <w:rsid w:val="00A32EAE"/>
    <w:rsid w:val="00A453F4"/>
    <w:rsid w:val="00A47736"/>
    <w:rsid w:val="00A47B5D"/>
    <w:rsid w:val="00A52DA4"/>
    <w:rsid w:val="00A52EB3"/>
    <w:rsid w:val="00A5313A"/>
    <w:rsid w:val="00A5411A"/>
    <w:rsid w:val="00A55391"/>
    <w:rsid w:val="00A62947"/>
    <w:rsid w:val="00A6394E"/>
    <w:rsid w:val="00A6461E"/>
    <w:rsid w:val="00A648FB"/>
    <w:rsid w:val="00A65021"/>
    <w:rsid w:val="00A66DA9"/>
    <w:rsid w:val="00A66F81"/>
    <w:rsid w:val="00A6709D"/>
    <w:rsid w:val="00A70715"/>
    <w:rsid w:val="00A70AD5"/>
    <w:rsid w:val="00A70BCC"/>
    <w:rsid w:val="00A71F9D"/>
    <w:rsid w:val="00A72F28"/>
    <w:rsid w:val="00A733FF"/>
    <w:rsid w:val="00A754B0"/>
    <w:rsid w:val="00A7760C"/>
    <w:rsid w:val="00A83986"/>
    <w:rsid w:val="00A848EC"/>
    <w:rsid w:val="00A84FB6"/>
    <w:rsid w:val="00A857CA"/>
    <w:rsid w:val="00A86FE2"/>
    <w:rsid w:val="00A879A2"/>
    <w:rsid w:val="00A921EC"/>
    <w:rsid w:val="00A92483"/>
    <w:rsid w:val="00A93163"/>
    <w:rsid w:val="00A9580A"/>
    <w:rsid w:val="00A958AA"/>
    <w:rsid w:val="00A96357"/>
    <w:rsid w:val="00A96FD1"/>
    <w:rsid w:val="00A9723A"/>
    <w:rsid w:val="00A97320"/>
    <w:rsid w:val="00AA76CD"/>
    <w:rsid w:val="00AB31DE"/>
    <w:rsid w:val="00AB328F"/>
    <w:rsid w:val="00AC0168"/>
    <w:rsid w:val="00AC079D"/>
    <w:rsid w:val="00AC168A"/>
    <w:rsid w:val="00AC30D0"/>
    <w:rsid w:val="00AC6C61"/>
    <w:rsid w:val="00AD19DF"/>
    <w:rsid w:val="00AD225C"/>
    <w:rsid w:val="00AD2B32"/>
    <w:rsid w:val="00AD3726"/>
    <w:rsid w:val="00AD45A6"/>
    <w:rsid w:val="00AD54A4"/>
    <w:rsid w:val="00AD6211"/>
    <w:rsid w:val="00AD6DC9"/>
    <w:rsid w:val="00AD6EC1"/>
    <w:rsid w:val="00AE03A2"/>
    <w:rsid w:val="00AE39CE"/>
    <w:rsid w:val="00AE3C3B"/>
    <w:rsid w:val="00AE591C"/>
    <w:rsid w:val="00AE701E"/>
    <w:rsid w:val="00AF0153"/>
    <w:rsid w:val="00AF1068"/>
    <w:rsid w:val="00AF1278"/>
    <w:rsid w:val="00AF193A"/>
    <w:rsid w:val="00AF1D45"/>
    <w:rsid w:val="00AF2D51"/>
    <w:rsid w:val="00AF34A0"/>
    <w:rsid w:val="00AF3F90"/>
    <w:rsid w:val="00AF4168"/>
    <w:rsid w:val="00AF6800"/>
    <w:rsid w:val="00B0143F"/>
    <w:rsid w:val="00B024D0"/>
    <w:rsid w:val="00B0517D"/>
    <w:rsid w:val="00B05473"/>
    <w:rsid w:val="00B060CD"/>
    <w:rsid w:val="00B107FB"/>
    <w:rsid w:val="00B10EAB"/>
    <w:rsid w:val="00B112A1"/>
    <w:rsid w:val="00B116BE"/>
    <w:rsid w:val="00B11F97"/>
    <w:rsid w:val="00B143BB"/>
    <w:rsid w:val="00B17557"/>
    <w:rsid w:val="00B230B3"/>
    <w:rsid w:val="00B24C18"/>
    <w:rsid w:val="00B250D2"/>
    <w:rsid w:val="00B256AF"/>
    <w:rsid w:val="00B26A15"/>
    <w:rsid w:val="00B33ACC"/>
    <w:rsid w:val="00B33B1E"/>
    <w:rsid w:val="00B33D58"/>
    <w:rsid w:val="00B33F1A"/>
    <w:rsid w:val="00B351FF"/>
    <w:rsid w:val="00B35656"/>
    <w:rsid w:val="00B361A7"/>
    <w:rsid w:val="00B378B5"/>
    <w:rsid w:val="00B418BC"/>
    <w:rsid w:val="00B42014"/>
    <w:rsid w:val="00B42810"/>
    <w:rsid w:val="00B43755"/>
    <w:rsid w:val="00B438FA"/>
    <w:rsid w:val="00B44D84"/>
    <w:rsid w:val="00B45195"/>
    <w:rsid w:val="00B4677F"/>
    <w:rsid w:val="00B47AA5"/>
    <w:rsid w:val="00B50E84"/>
    <w:rsid w:val="00B530D7"/>
    <w:rsid w:val="00B539CE"/>
    <w:rsid w:val="00B554F2"/>
    <w:rsid w:val="00B555F3"/>
    <w:rsid w:val="00B5610D"/>
    <w:rsid w:val="00B574BF"/>
    <w:rsid w:val="00B6134D"/>
    <w:rsid w:val="00B659C9"/>
    <w:rsid w:val="00B6623E"/>
    <w:rsid w:val="00B6687D"/>
    <w:rsid w:val="00B66DDB"/>
    <w:rsid w:val="00B67541"/>
    <w:rsid w:val="00B70E0B"/>
    <w:rsid w:val="00B74B7C"/>
    <w:rsid w:val="00B75BF9"/>
    <w:rsid w:val="00B75D8A"/>
    <w:rsid w:val="00B767D4"/>
    <w:rsid w:val="00B8137B"/>
    <w:rsid w:val="00B840F6"/>
    <w:rsid w:val="00B84496"/>
    <w:rsid w:val="00B84ABA"/>
    <w:rsid w:val="00B8552B"/>
    <w:rsid w:val="00B904F3"/>
    <w:rsid w:val="00B91975"/>
    <w:rsid w:val="00B9290B"/>
    <w:rsid w:val="00B92E32"/>
    <w:rsid w:val="00B9668E"/>
    <w:rsid w:val="00B9787C"/>
    <w:rsid w:val="00B97C1B"/>
    <w:rsid w:val="00B97F5C"/>
    <w:rsid w:val="00BA0A67"/>
    <w:rsid w:val="00BA12BD"/>
    <w:rsid w:val="00BA4367"/>
    <w:rsid w:val="00BA68CE"/>
    <w:rsid w:val="00BB023B"/>
    <w:rsid w:val="00BB20C1"/>
    <w:rsid w:val="00BB4A8D"/>
    <w:rsid w:val="00BB6D79"/>
    <w:rsid w:val="00BC107D"/>
    <w:rsid w:val="00BC2597"/>
    <w:rsid w:val="00BC2A6B"/>
    <w:rsid w:val="00BC2FA9"/>
    <w:rsid w:val="00BC3BE1"/>
    <w:rsid w:val="00BC4111"/>
    <w:rsid w:val="00BC50E6"/>
    <w:rsid w:val="00BC658E"/>
    <w:rsid w:val="00BD1170"/>
    <w:rsid w:val="00BD1873"/>
    <w:rsid w:val="00BD3536"/>
    <w:rsid w:val="00BD4394"/>
    <w:rsid w:val="00BD4686"/>
    <w:rsid w:val="00BD474C"/>
    <w:rsid w:val="00BD5DB4"/>
    <w:rsid w:val="00BD60AD"/>
    <w:rsid w:val="00BD62B2"/>
    <w:rsid w:val="00BD71FE"/>
    <w:rsid w:val="00BE0567"/>
    <w:rsid w:val="00BE28A3"/>
    <w:rsid w:val="00BE496C"/>
    <w:rsid w:val="00BE5C01"/>
    <w:rsid w:val="00BE653F"/>
    <w:rsid w:val="00BF080C"/>
    <w:rsid w:val="00BF1EEC"/>
    <w:rsid w:val="00BF4E67"/>
    <w:rsid w:val="00BF7148"/>
    <w:rsid w:val="00C006BC"/>
    <w:rsid w:val="00C0120B"/>
    <w:rsid w:val="00C01813"/>
    <w:rsid w:val="00C01F79"/>
    <w:rsid w:val="00C022E3"/>
    <w:rsid w:val="00C02600"/>
    <w:rsid w:val="00C02E5F"/>
    <w:rsid w:val="00C043A4"/>
    <w:rsid w:val="00C0468B"/>
    <w:rsid w:val="00C04921"/>
    <w:rsid w:val="00C04A93"/>
    <w:rsid w:val="00C04BBC"/>
    <w:rsid w:val="00C0512F"/>
    <w:rsid w:val="00C05314"/>
    <w:rsid w:val="00C06F42"/>
    <w:rsid w:val="00C0720D"/>
    <w:rsid w:val="00C10172"/>
    <w:rsid w:val="00C10346"/>
    <w:rsid w:val="00C10E3F"/>
    <w:rsid w:val="00C12814"/>
    <w:rsid w:val="00C132FB"/>
    <w:rsid w:val="00C1542A"/>
    <w:rsid w:val="00C15E7D"/>
    <w:rsid w:val="00C16D74"/>
    <w:rsid w:val="00C16E6A"/>
    <w:rsid w:val="00C20475"/>
    <w:rsid w:val="00C206C3"/>
    <w:rsid w:val="00C210BC"/>
    <w:rsid w:val="00C2173B"/>
    <w:rsid w:val="00C23518"/>
    <w:rsid w:val="00C26199"/>
    <w:rsid w:val="00C27444"/>
    <w:rsid w:val="00C31534"/>
    <w:rsid w:val="00C31DDE"/>
    <w:rsid w:val="00C32131"/>
    <w:rsid w:val="00C34062"/>
    <w:rsid w:val="00C35E07"/>
    <w:rsid w:val="00C42CAB"/>
    <w:rsid w:val="00C431D2"/>
    <w:rsid w:val="00C44027"/>
    <w:rsid w:val="00C45F1B"/>
    <w:rsid w:val="00C46773"/>
    <w:rsid w:val="00C469C1"/>
    <w:rsid w:val="00C476A4"/>
    <w:rsid w:val="00C47A8B"/>
    <w:rsid w:val="00C50865"/>
    <w:rsid w:val="00C52368"/>
    <w:rsid w:val="00C5339D"/>
    <w:rsid w:val="00C558F5"/>
    <w:rsid w:val="00C55C3E"/>
    <w:rsid w:val="00C56175"/>
    <w:rsid w:val="00C56661"/>
    <w:rsid w:val="00C56DD1"/>
    <w:rsid w:val="00C57902"/>
    <w:rsid w:val="00C604CF"/>
    <w:rsid w:val="00C605E0"/>
    <w:rsid w:val="00C6496D"/>
    <w:rsid w:val="00C719F9"/>
    <w:rsid w:val="00C72F19"/>
    <w:rsid w:val="00C73416"/>
    <w:rsid w:val="00C734FF"/>
    <w:rsid w:val="00C73E1A"/>
    <w:rsid w:val="00C75EA5"/>
    <w:rsid w:val="00C77CBB"/>
    <w:rsid w:val="00C80825"/>
    <w:rsid w:val="00C82274"/>
    <w:rsid w:val="00C82BA0"/>
    <w:rsid w:val="00C82C40"/>
    <w:rsid w:val="00C83B70"/>
    <w:rsid w:val="00C87392"/>
    <w:rsid w:val="00C903F7"/>
    <w:rsid w:val="00C91364"/>
    <w:rsid w:val="00C950AE"/>
    <w:rsid w:val="00C967C9"/>
    <w:rsid w:val="00C97182"/>
    <w:rsid w:val="00CA1E4A"/>
    <w:rsid w:val="00CA2309"/>
    <w:rsid w:val="00CA518E"/>
    <w:rsid w:val="00CA79F1"/>
    <w:rsid w:val="00CB17D0"/>
    <w:rsid w:val="00CB274E"/>
    <w:rsid w:val="00CB39CF"/>
    <w:rsid w:val="00CB576D"/>
    <w:rsid w:val="00CB74D4"/>
    <w:rsid w:val="00CC0609"/>
    <w:rsid w:val="00CC09FC"/>
    <w:rsid w:val="00CC29CC"/>
    <w:rsid w:val="00CC2B1D"/>
    <w:rsid w:val="00CC530B"/>
    <w:rsid w:val="00CC5ED3"/>
    <w:rsid w:val="00CC68AC"/>
    <w:rsid w:val="00CC7EF0"/>
    <w:rsid w:val="00CD0DD2"/>
    <w:rsid w:val="00CD15BE"/>
    <w:rsid w:val="00CD3209"/>
    <w:rsid w:val="00CD4C65"/>
    <w:rsid w:val="00CD5C67"/>
    <w:rsid w:val="00CD6C7A"/>
    <w:rsid w:val="00CE15E8"/>
    <w:rsid w:val="00CE2B4F"/>
    <w:rsid w:val="00CE4658"/>
    <w:rsid w:val="00CF0313"/>
    <w:rsid w:val="00CF3696"/>
    <w:rsid w:val="00CF5D17"/>
    <w:rsid w:val="00CF5DD2"/>
    <w:rsid w:val="00D00DEC"/>
    <w:rsid w:val="00D01404"/>
    <w:rsid w:val="00D03838"/>
    <w:rsid w:val="00D0512A"/>
    <w:rsid w:val="00D05B3A"/>
    <w:rsid w:val="00D062B1"/>
    <w:rsid w:val="00D06C4D"/>
    <w:rsid w:val="00D10AF4"/>
    <w:rsid w:val="00D11598"/>
    <w:rsid w:val="00D1216D"/>
    <w:rsid w:val="00D1250A"/>
    <w:rsid w:val="00D12CC9"/>
    <w:rsid w:val="00D14511"/>
    <w:rsid w:val="00D1517D"/>
    <w:rsid w:val="00D17A38"/>
    <w:rsid w:val="00D17D3A"/>
    <w:rsid w:val="00D20763"/>
    <w:rsid w:val="00D21002"/>
    <w:rsid w:val="00D22044"/>
    <w:rsid w:val="00D2271F"/>
    <w:rsid w:val="00D22842"/>
    <w:rsid w:val="00D24305"/>
    <w:rsid w:val="00D244B6"/>
    <w:rsid w:val="00D244DF"/>
    <w:rsid w:val="00D24906"/>
    <w:rsid w:val="00D255E2"/>
    <w:rsid w:val="00D27843"/>
    <w:rsid w:val="00D31F0C"/>
    <w:rsid w:val="00D32F9E"/>
    <w:rsid w:val="00D36403"/>
    <w:rsid w:val="00D37DF8"/>
    <w:rsid w:val="00D413AB"/>
    <w:rsid w:val="00D469D9"/>
    <w:rsid w:val="00D46B5C"/>
    <w:rsid w:val="00D47798"/>
    <w:rsid w:val="00D535A6"/>
    <w:rsid w:val="00D53F4B"/>
    <w:rsid w:val="00D53F90"/>
    <w:rsid w:val="00D55009"/>
    <w:rsid w:val="00D55245"/>
    <w:rsid w:val="00D55FAC"/>
    <w:rsid w:val="00D61703"/>
    <w:rsid w:val="00D62A3F"/>
    <w:rsid w:val="00D632AC"/>
    <w:rsid w:val="00D63516"/>
    <w:rsid w:val="00D6445A"/>
    <w:rsid w:val="00D65826"/>
    <w:rsid w:val="00D662A5"/>
    <w:rsid w:val="00D67559"/>
    <w:rsid w:val="00D73184"/>
    <w:rsid w:val="00D744CA"/>
    <w:rsid w:val="00D74C06"/>
    <w:rsid w:val="00D75BC4"/>
    <w:rsid w:val="00D761C6"/>
    <w:rsid w:val="00D8015C"/>
    <w:rsid w:val="00D81763"/>
    <w:rsid w:val="00D8290E"/>
    <w:rsid w:val="00D84C03"/>
    <w:rsid w:val="00D90AFA"/>
    <w:rsid w:val="00D91DEA"/>
    <w:rsid w:val="00D950BA"/>
    <w:rsid w:val="00D96254"/>
    <w:rsid w:val="00D97350"/>
    <w:rsid w:val="00D97FF9"/>
    <w:rsid w:val="00DA1112"/>
    <w:rsid w:val="00DA17EA"/>
    <w:rsid w:val="00DA1D4F"/>
    <w:rsid w:val="00DA36CF"/>
    <w:rsid w:val="00DA3BEA"/>
    <w:rsid w:val="00DA4417"/>
    <w:rsid w:val="00DA60F2"/>
    <w:rsid w:val="00DA6353"/>
    <w:rsid w:val="00DB0F2F"/>
    <w:rsid w:val="00DB197E"/>
    <w:rsid w:val="00DB2C96"/>
    <w:rsid w:val="00DB3B5A"/>
    <w:rsid w:val="00DB64E9"/>
    <w:rsid w:val="00DC037F"/>
    <w:rsid w:val="00DC1999"/>
    <w:rsid w:val="00DC1D1C"/>
    <w:rsid w:val="00DC2510"/>
    <w:rsid w:val="00DC4196"/>
    <w:rsid w:val="00DC4D28"/>
    <w:rsid w:val="00DC7D82"/>
    <w:rsid w:val="00DD013F"/>
    <w:rsid w:val="00DD0FAF"/>
    <w:rsid w:val="00DD106E"/>
    <w:rsid w:val="00DD3159"/>
    <w:rsid w:val="00DD3D12"/>
    <w:rsid w:val="00DD551D"/>
    <w:rsid w:val="00DD5D4C"/>
    <w:rsid w:val="00DE1160"/>
    <w:rsid w:val="00DE1831"/>
    <w:rsid w:val="00DE4D2A"/>
    <w:rsid w:val="00DE4F1C"/>
    <w:rsid w:val="00DE6730"/>
    <w:rsid w:val="00DE7436"/>
    <w:rsid w:val="00DF4158"/>
    <w:rsid w:val="00DF4D54"/>
    <w:rsid w:val="00DF7B08"/>
    <w:rsid w:val="00E0111E"/>
    <w:rsid w:val="00E012BA"/>
    <w:rsid w:val="00E026F7"/>
    <w:rsid w:val="00E03C2D"/>
    <w:rsid w:val="00E06025"/>
    <w:rsid w:val="00E0678D"/>
    <w:rsid w:val="00E0683E"/>
    <w:rsid w:val="00E06C86"/>
    <w:rsid w:val="00E10BA6"/>
    <w:rsid w:val="00E10FA2"/>
    <w:rsid w:val="00E11206"/>
    <w:rsid w:val="00E12592"/>
    <w:rsid w:val="00E127CF"/>
    <w:rsid w:val="00E12998"/>
    <w:rsid w:val="00E130B2"/>
    <w:rsid w:val="00E14232"/>
    <w:rsid w:val="00E1447D"/>
    <w:rsid w:val="00E16392"/>
    <w:rsid w:val="00E16978"/>
    <w:rsid w:val="00E1762A"/>
    <w:rsid w:val="00E177E8"/>
    <w:rsid w:val="00E17833"/>
    <w:rsid w:val="00E23917"/>
    <w:rsid w:val="00E250AC"/>
    <w:rsid w:val="00E25734"/>
    <w:rsid w:val="00E259C4"/>
    <w:rsid w:val="00E25FC0"/>
    <w:rsid w:val="00E2655E"/>
    <w:rsid w:val="00E27082"/>
    <w:rsid w:val="00E31856"/>
    <w:rsid w:val="00E31C0F"/>
    <w:rsid w:val="00E33664"/>
    <w:rsid w:val="00E36460"/>
    <w:rsid w:val="00E3692A"/>
    <w:rsid w:val="00E41212"/>
    <w:rsid w:val="00E423A4"/>
    <w:rsid w:val="00E435E3"/>
    <w:rsid w:val="00E46308"/>
    <w:rsid w:val="00E46580"/>
    <w:rsid w:val="00E473EF"/>
    <w:rsid w:val="00E51586"/>
    <w:rsid w:val="00E52CA6"/>
    <w:rsid w:val="00E54691"/>
    <w:rsid w:val="00E54D46"/>
    <w:rsid w:val="00E55B9A"/>
    <w:rsid w:val="00E60CC8"/>
    <w:rsid w:val="00E610F9"/>
    <w:rsid w:val="00E61808"/>
    <w:rsid w:val="00E62042"/>
    <w:rsid w:val="00E62139"/>
    <w:rsid w:val="00E6523B"/>
    <w:rsid w:val="00E65462"/>
    <w:rsid w:val="00E65750"/>
    <w:rsid w:val="00E6605E"/>
    <w:rsid w:val="00E67685"/>
    <w:rsid w:val="00E70246"/>
    <w:rsid w:val="00E70331"/>
    <w:rsid w:val="00E72B71"/>
    <w:rsid w:val="00E738A4"/>
    <w:rsid w:val="00E74847"/>
    <w:rsid w:val="00E74FF8"/>
    <w:rsid w:val="00E81F08"/>
    <w:rsid w:val="00E84126"/>
    <w:rsid w:val="00E854E8"/>
    <w:rsid w:val="00E869C5"/>
    <w:rsid w:val="00E87ADF"/>
    <w:rsid w:val="00E90D65"/>
    <w:rsid w:val="00E91EBC"/>
    <w:rsid w:val="00E936C3"/>
    <w:rsid w:val="00E953C8"/>
    <w:rsid w:val="00E9725B"/>
    <w:rsid w:val="00E9785F"/>
    <w:rsid w:val="00E97F19"/>
    <w:rsid w:val="00EA6B5F"/>
    <w:rsid w:val="00EB19F6"/>
    <w:rsid w:val="00EB2206"/>
    <w:rsid w:val="00EB59B1"/>
    <w:rsid w:val="00EC05B7"/>
    <w:rsid w:val="00EC0EDF"/>
    <w:rsid w:val="00EC4944"/>
    <w:rsid w:val="00EC52C9"/>
    <w:rsid w:val="00EC653E"/>
    <w:rsid w:val="00ED0465"/>
    <w:rsid w:val="00ED26A5"/>
    <w:rsid w:val="00ED2E19"/>
    <w:rsid w:val="00ED3100"/>
    <w:rsid w:val="00ED4979"/>
    <w:rsid w:val="00ED6100"/>
    <w:rsid w:val="00ED7FF9"/>
    <w:rsid w:val="00EE06AA"/>
    <w:rsid w:val="00EE0F6D"/>
    <w:rsid w:val="00EE16F6"/>
    <w:rsid w:val="00EE1B6F"/>
    <w:rsid w:val="00EE1E2C"/>
    <w:rsid w:val="00EE40CA"/>
    <w:rsid w:val="00EE4A30"/>
    <w:rsid w:val="00EE50F3"/>
    <w:rsid w:val="00EE523C"/>
    <w:rsid w:val="00EE7E64"/>
    <w:rsid w:val="00EF0E56"/>
    <w:rsid w:val="00EF192F"/>
    <w:rsid w:val="00EF27BD"/>
    <w:rsid w:val="00EF28F6"/>
    <w:rsid w:val="00EF33D5"/>
    <w:rsid w:val="00EF34C0"/>
    <w:rsid w:val="00EF5B69"/>
    <w:rsid w:val="00EF7A7A"/>
    <w:rsid w:val="00F00907"/>
    <w:rsid w:val="00F01815"/>
    <w:rsid w:val="00F0312A"/>
    <w:rsid w:val="00F03C16"/>
    <w:rsid w:val="00F041E4"/>
    <w:rsid w:val="00F04B02"/>
    <w:rsid w:val="00F054FC"/>
    <w:rsid w:val="00F0665E"/>
    <w:rsid w:val="00F06BCC"/>
    <w:rsid w:val="00F10203"/>
    <w:rsid w:val="00F1023D"/>
    <w:rsid w:val="00F102F7"/>
    <w:rsid w:val="00F10E24"/>
    <w:rsid w:val="00F11DAF"/>
    <w:rsid w:val="00F121FF"/>
    <w:rsid w:val="00F135FE"/>
    <w:rsid w:val="00F1362D"/>
    <w:rsid w:val="00F1400E"/>
    <w:rsid w:val="00F154BB"/>
    <w:rsid w:val="00F23085"/>
    <w:rsid w:val="00F23421"/>
    <w:rsid w:val="00F246D0"/>
    <w:rsid w:val="00F32C04"/>
    <w:rsid w:val="00F34453"/>
    <w:rsid w:val="00F3483F"/>
    <w:rsid w:val="00F351DD"/>
    <w:rsid w:val="00F35759"/>
    <w:rsid w:val="00F3583E"/>
    <w:rsid w:val="00F36F1F"/>
    <w:rsid w:val="00F402E7"/>
    <w:rsid w:val="00F41077"/>
    <w:rsid w:val="00F4131E"/>
    <w:rsid w:val="00F42A5B"/>
    <w:rsid w:val="00F47784"/>
    <w:rsid w:val="00F531F2"/>
    <w:rsid w:val="00F53C55"/>
    <w:rsid w:val="00F5463C"/>
    <w:rsid w:val="00F547C1"/>
    <w:rsid w:val="00F56950"/>
    <w:rsid w:val="00F56F64"/>
    <w:rsid w:val="00F60529"/>
    <w:rsid w:val="00F62583"/>
    <w:rsid w:val="00F63F40"/>
    <w:rsid w:val="00F645F6"/>
    <w:rsid w:val="00F6731F"/>
    <w:rsid w:val="00F67796"/>
    <w:rsid w:val="00F67BE9"/>
    <w:rsid w:val="00F67E78"/>
    <w:rsid w:val="00F707A3"/>
    <w:rsid w:val="00F70F7F"/>
    <w:rsid w:val="00F71B6A"/>
    <w:rsid w:val="00F741B6"/>
    <w:rsid w:val="00F74B90"/>
    <w:rsid w:val="00F76295"/>
    <w:rsid w:val="00F76659"/>
    <w:rsid w:val="00F769A0"/>
    <w:rsid w:val="00F8112C"/>
    <w:rsid w:val="00F906B3"/>
    <w:rsid w:val="00F930A3"/>
    <w:rsid w:val="00F97839"/>
    <w:rsid w:val="00FA0868"/>
    <w:rsid w:val="00FA0A44"/>
    <w:rsid w:val="00FB091E"/>
    <w:rsid w:val="00FB15C7"/>
    <w:rsid w:val="00FB1EC6"/>
    <w:rsid w:val="00FB2587"/>
    <w:rsid w:val="00FB59FD"/>
    <w:rsid w:val="00FB5E2C"/>
    <w:rsid w:val="00FC0206"/>
    <w:rsid w:val="00FC144D"/>
    <w:rsid w:val="00FC28C3"/>
    <w:rsid w:val="00FC3B8E"/>
    <w:rsid w:val="00FC554D"/>
    <w:rsid w:val="00FC706F"/>
    <w:rsid w:val="00FD0EA0"/>
    <w:rsid w:val="00FD1763"/>
    <w:rsid w:val="00FD26BD"/>
    <w:rsid w:val="00FD2789"/>
    <w:rsid w:val="00FD28FA"/>
    <w:rsid w:val="00FD4C2F"/>
    <w:rsid w:val="00FD587E"/>
    <w:rsid w:val="00FD6256"/>
    <w:rsid w:val="00FD73B3"/>
    <w:rsid w:val="00FD773F"/>
    <w:rsid w:val="00FE1230"/>
    <w:rsid w:val="00FE1A5E"/>
    <w:rsid w:val="00FE2237"/>
    <w:rsid w:val="00FE56B5"/>
    <w:rsid w:val="00FE59A0"/>
    <w:rsid w:val="00FE6C96"/>
    <w:rsid w:val="00FE728F"/>
    <w:rsid w:val="00FF0D33"/>
    <w:rsid w:val="00FF1B53"/>
    <w:rsid w:val="00FF5770"/>
    <w:rsid w:val="00FF5B62"/>
    <w:rsid w:val="00FF617B"/>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F"/>
    <w:rPr>
      <w:rFonts w:ascii="Arial" w:hAnsi="Arial"/>
      <w:sz w:val="24"/>
    </w:rPr>
  </w:style>
  <w:style w:type="paragraph" w:styleId="Titre1">
    <w:name w:val="heading 1"/>
    <w:basedOn w:val="Normal"/>
    <w:next w:val="Normal"/>
    <w:link w:val="Titre1Car"/>
    <w:uiPriority w:val="99"/>
    <w:qFormat/>
    <w:rsid w:val="004A068F"/>
    <w:pPr>
      <w:keepNext/>
      <w:outlineLvl w:val="0"/>
    </w:pPr>
    <w:rPr>
      <w:b/>
      <w:caps/>
      <w:kern w:val="28"/>
      <w:sz w:val="22"/>
      <w:lang w:val="en-US"/>
    </w:rPr>
  </w:style>
  <w:style w:type="paragraph" w:styleId="Titre2">
    <w:name w:val="heading 2"/>
    <w:basedOn w:val="Normal"/>
    <w:next w:val="Normal"/>
    <w:link w:val="Titre2Car"/>
    <w:uiPriority w:val="99"/>
    <w:qFormat/>
    <w:rsid w:val="004A068F"/>
    <w:pPr>
      <w:keepNext/>
      <w:spacing w:before="240" w:after="60"/>
      <w:outlineLvl w:val="1"/>
    </w:pPr>
    <w:rPr>
      <w:rFonts w:cs="Arial"/>
      <w:b/>
      <w:bCs/>
      <w:i/>
      <w:iCs/>
      <w:sz w:val="28"/>
      <w:szCs w:val="28"/>
    </w:rPr>
  </w:style>
  <w:style w:type="paragraph" w:styleId="Titre5">
    <w:name w:val="heading 5"/>
    <w:basedOn w:val="Normal"/>
    <w:next w:val="Normal"/>
    <w:link w:val="Titre5Car"/>
    <w:uiPriority w:val="99"/>
    <w:qFormat/>
    <w:rsid w:val="004A068F"/>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A068F"/>
    <w:rPr>
      <w:rFonts w:ascii="Arial" w:hAnsi="Arial" w:cs="Times New Roman"/>
      <w:b/>
      <w:caps/>
      <w:kern w:val="28"/>
      <w:sz w:val="22"/>
      <w:lang w:eastAsia="en-GB"/>
    </w:rPr>
  </w:style>
  <w:style w:type="character" w:customStyle="1" w:styleId="Titre2Car">
    <w:name w:val="Titre 2 Car"/>
    <w:basedOn w:val="Policepardfaut"/>
    <w:link w:val="Titre2"/>
    <w:uiPriority w:val="99"/>
    <w:locked/>
    <w:rsid w:val="004A068F"/>
    <w:rPr>
      <w:rFonts w:ascii="Arial" w:hAnsi="Arial" w:cs="Arial"/>
      <w:b/>
      <w:bCs/>
      <w:i/>
      <w:iCs/>
      <w:sz w:val="28"/>
      <w:szCs w:val="28"/>
      <w:lang w:val="en-GB" w:eastAsia="en-GB"/>
    </w:rPr>
  </w:style>
  <w:style w:type="character" w:customStyle="1" w:styleId="Titre5Car">
    <w:name w:val="Titre 5 Car"/>
    <w:basedOn w:val="Policepardfaut"/>
    <w:link w:val="Titre5"/>
    <w:uiPriority w:val="99"/>
    <w:locked/>
    <w:rsid w:val="004A068F"/>
    <w:rPr>
      <w:rFonts w:ascii="Arial" w:hAnsi="Arial" w:cs="Times New Roman"/>
      <w:b/>
      <w:bCs/>
      <w:i/>
      <w:iCs/>
      <w:sz w:val="26"/>
      <w:szCs w:val="26"/>
      <w:lang w:val="en-GB" w:eastAsia="en-GB"/>
    </w:rPr>
  </w:style>
  <w:style w:type="paragraph" w:styleId="Textedebulles">
    <w:name w:val="Balloon Text"/>
    <w:basedOn w:val="Normal"/>
    <w:link w:val="TextedebullesCar"/>
    <w:uiPriority w:val="99"/>
    <w:semiHidden/>
    <w:rsid w:val="00E55B9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5B9A"/>
    <w:rPr>
      <w:rFonts w:ascii="Tahoma" w:hAnsi="Tahoma" w:cs="Tahoma"/>
      <w:sz w:val="16"/>
      <w:szCs w:val="16"/>
      <w:lang w:val="en-GB" w:eastAsia="en-GB"/>
    </w:rPr>
  </w:style>
  <w:style w:type="paragraph" w:styleId="En-tte">
    <w:name w:val="header"/>
    <w:basedOn w:val="Normal"/>
    <w:link w:val="En-tteCar"/>
    <w:uiPriority w:val="99"/>
    <w:semiHidden/>
    <w:rsid w:val="00213F98"/>
    <w:pPr>
      <w:tabs>
        <w:tab w:val="center" w:pos="4536"/>
        <w:tab w:val="right" w:pos="9072"/>
      </w:tabs>
    </w:pPr>
  </w:style>
  <w:style w:type="character" w:customStyle="1" w:styleId="En-tteCar">
    <w:name w:val="En-tête Car"/>
    <w:basedOn w:val="Policepardfaut"/>
    <w:link w:val="En-tte"/>
    <w:uiPriority w:val="99"/>
    <w:semiHidden/>
    <w:locked/>
    <w:rsid w:val="00213F98"/>
    <w:rPr>
      <w:rFonts w:ascii="Times New Roman" w:hAnsi="Times New Roman" w:cs="Times New Roman"/>
      <w:sz w:val="24"/>
      <w:lang w:val="en-GB"/>
    </w:rPr>
  </w:style>
  <w:style w:type="paragraph" w:styleId="Pieddepage">
    <w:name w:val="footer"/>
    <w:basedOn w:val="Normal"/>
    <w:link w:val="PieddepageCar"/>
    <w:uiPriority w:val="99"/>
    <w:semiHidden/>
    <w:rsid w:val="00213F98"/>
    <w:pPr>
      <w:tabs>
        <w:tab w:val="center" w:pos="4536"/>
        <w:tab w:val="right" w:pos="9072"/>
      </w:tabs>
    </w:pPr>
  </w:style>
  <w:style w:type="character" w:customStyle="1" w:styleId="PieddepageCar">
    <w:name w:val="Pied de page Car"/>
    <w:basedOn w:val="Policepardfaut"/>
    <w:link w:val="Pieddepage"/>
    <w:uiPriority w:val="99"/>
    <w:semiHidden/>
    <w:locked/>
    <w:rsid w:val="00213F98"/>
    <w:rPr>
      <w:rFonts w:ascii="Times New Roman" w:hAnsi="Times New Roman" w:cs="Times New Roman"/>
      <w:sz w:val="24"/>
      <w:lang w:val="en-GB"/>
    </w:rPr>
  </w:style>
  <w:style w:type="table" w:styleId="Grilledutableau">
    <w:name w:val="Table Grid"/>
    <w:basedOn w:val="TableauNormal"/>
    <w:uiPriority w:val="99"/>
    <w:rsid w:val="0056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2">
    <w:name w:val="Colorful Grid Accent 2"/>
    <w:basedOn w:val="TableauNormal"/>
    <w:uiPriority w:val="99"/>
    <w:rsid w:val="0056748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Marquedecommentaire">
    <w:name w:val="annotation reference"/>
    <w:basedOn w:val="Policepardfaut"/>
    <w:uiPriority w:val="99"/>
    <w:semiHidden/>
    <w:rsid w:val="00940B6D"/>
    <w:rPr>
      <w:rFonts w:cs="Times New Roman"/>
      <w:sz w:val="16"/>
      <w:szCs w:val="16"/>
    </w:rPr>
  </w:style>
  <w:style w:type="paragraph" w:styleId="Commentaire">
    <w:name w:val="annotation text"/>
    <w:basedOn w:val="Normal"/>
    <w:link w:val="CommentaireCar"/>
    <w:uiPriority w:val="99"/>
    <w:semiHidden/>
    <w:rsid w:val="00940B6D"/>
    <w:rPr>
      <w:sz w:val="20"/>
    </w:rPr>
  </w:style>
  <w:style w:type="character" w:customStyle="1" w:styleId="CommentaireCar">
    <w:name w:val="Commentaire Car"/>
    <w:basedOn w:val="Policepardfaut"/>
    <w:link w:val="Commentaire"/>
    <w:uiPriority w:val="99"/>
    <w:semiHidden/>
    <w:locked/>
    <w:rsid w:val="00940B6D"/>
    <w:rPr>
      <w:rFonts w:ascii="Arial"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rsid w:val="00940B6D"/>
    <w:rPr>
      <w:b/>
      <w:bCs/>
    </w:rPr>
  </w:style>
  <w:style w:type="character" w:customStyle="1" w:styleId="ObjetducommentaireCar">
    <w:name w:val="Objet du commentaire Car"/>
    <w:basedOn w:val="CommentaireCar"/>
    <w:link w:val="Objetducommentaire"/>
    <w:uiPriority w:val="99"/>
    <w:semiHidden/>
    <w:locked/>
    <w:rsid w:val="00940B6D"/>
    <w:rPr>
      <w:rFonts w:ascii="Arial" w:hAnsi="Arial" w:cs="Times New Roman"/>
      <w:b/>
      <w:bCs/>
      <w:sz w:val="20"/>
      <w:szCs w:val="20"/>
      <w:lang w:val="en-GB" w:eastAsia="en-GB"/>
    </w:rPr>
  </w:style>
  <w:style w:type="character" w:customStyle="1" w:styleId="longtext">
    <w:name w:val="long_text"/>
    <w:basedOn w:val="Policepardfaut"/>
    <w:uiPriority w:val="99"/>
    <w:rsid w:val="003073D0"/>
    <w:rPr>
      <w:rFonts w:cs="Times New Roman"/>
    </w:rPr>
  </w:style>
  <w:style w:type="paragraph" w:styleId="Paragraphedeliste">
    <w:name w:val="List Paragraph"/>
    <w:basedOn w:val="Normal"/>
    <w:uiPriority w:val="99"/>
    <w:qFormat/>
    <w:rsid w:val="000E45C8"/>
    <w:pPr>
      <w:ind w:left="720"/>
      <w:contextualSpacing/>
    </w:pPr>
  </w:style>
  <w:style w:type="paragraph" w:styleId="Notedebasdepage">
    <w:name w:val="footnote text"/>
    <w:basedOn w:val="Normal"/>
    <w:link w:val="NotedebasdepageCar"/>
    <w:uiPriority w:val="99"/>
    <w:semiHidden/>
    <w:rsid w:val="00044DD8"/>
    <w:rPr>
      <w:sz w:val="20"/>
    </w:rPr>
  </w:style>
  <w:style w:type="character" w:customStyle="1" w:styleId="NotedebasdepageCar">
    <w:name w:val="Note de bas de page Car"/>
    <w:basedOn w:val="Policepardfaut"/>
    <w:link w:val="Notedebasdepage"/>
    <w:uiPriority w:val="99"/>
    <w:semiHidden/>
    <w:locked/>
    <w:rsid w:val="00044DD8"/>
    <w:rPr>
      <w:rFonts w:ascii="Arial" w:hAnsi="Arial" w:cs="Times New Roman"/>
      <w:sz w:val="20"/>
      <w:szCs w:val="20"/>
      <w:lang w:val="en-GB" w:eastAsia="en-GB"/>
    </w:rPr>
  </w:style>
  <w:style w:type="character" w:styleId="Appelnotedebasdep">
    <w:name w:val="footnote reference"/>
    <w:basedOn w:val="Policepardfaut"/>
    <w:uiPriority w:val="99"/>
    <w:semiHidden/>
    <w:rsid w:val="00044DD8"/>
    <w:rPr>
      <w:rFonts w:cs="Times New Roman"/>
      <w:vertAlign w:val="superscript"/>
    </w:rPr>
  </w:style>
  <w:style w:type="character" w:styleId="Lienhypertexte">
    <w:name w:val="Hyperlink"/>
    <w:basedOn w:val="Policepardfaut"/>
    <w:uiPriority w:val="99"/>
    <w:unhideWhenUsed/>
    <w:rsid w:val="00C45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F"/>
    <w:rPr>
      <w:rFonts w:ascii="Arial" w:hAnsi="Arial"/>
      <w:sz w:val="24"/>
    </w:rPr>
  </w:style>
  <w:style w:type="paragraph" w:styleId="Titre1">
    <w:name w:val="heading 1"/>
    <w:basedOn w:val="Normal"/>
    <w:next w:val="Normal"/>
    <w:link w:val="Titre1Car"/>
    <w:uiPriority w:val="99"/>
    <w:qFormat/>
    <w:rsid w:val="004A068F"/>
    <w:pPr>
      <w:keepNext/>
      <w:outlineLvl w:val="0"/>
    </w:pPr>
    <w:rPr>
      <w:b/>
      <w:caps/>
      <w:kern w:val="28"/>
      <w:sz w:val="22"/>
      <w:lang w:val="en-US"/>
    </w:rPr>
  </w:style>
  <w:style w:type="paragraph" w:styleId="Titre2">
    <w:name w:val="heading 2"/>
    <w:basedOn w:val="Normal"/>
    <w:next w:val="Normal"/>
    <w:link w:val="Titre2Car"/>
    <w:uiPriority w:val="99"/>
    <w:qFormat/>
    <w:rsid w:val="004A068F"/>
    <w:pPr>
      <w:keepNext/>
      <w:spacing w:before="240" w:after="60"/>
      <w:outlineLvl w:val="1"/>
    </w:pPr>
    <w:rPr>
      <w:rFonts w:cs="Arial"/>
      <w:b/>
      <w:bCs/>
      <w:i/>
      <w:iCs/>
      <w:sz w:val="28"/>
      <w:szCs w:val="28"/>
    </w:rPr>
  </w:style>
  <w:style w:type="paragraph" w:styleId="Titre5">
    <w:name w:val="heading 5"/>
    <w:basedOn w:val="Normal"/>
    <w:next w:val="Normal"/>
    <w:link w:val="Titre5Car"/>
    <w:uiPriority w:val="99"/>
    <w:qFormat/>
    <w:rsid w:val="004A068F"/>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A068F"/>
    <w:rPr>
      <w:rFonts w:ascii="Arial" w:hAnsi="Arial" w:cs="Times New Roman"/>
      <w:b/>
      <w:caps/>
      <w:kern w:val="28"/>
      <w:sz w:val="22"/>
      <w:lang w:eastAsia="en-GB"/>
    </w:rPr>
  </w:style>
  <w:style w:type="character" w:customStyle="1" w:styleId="Titre2Car">
    <w:name w:val="Titre 2 Car"/>
    <w:basedOn w:val="Policepardfaut"/>
    <w:link w:val="Titre2"/>
    <w:uiPriority w:val="99"/>
    <w:locked/>
    <w:rsid w:val="004A068F"/>
    <w:rPr>
      <w:rFonts w:ascii="Arial" w:hAnsi="Arial" w:cs="Arial"/>
      <w:b/>
      <w:bCs/>
      <w:i/>
      <w:iCs/>
      <w:sz w:val="28"/>
      <w:szCs w:val="28"/>
      <w:lang w:val="en-GB" w:eastAsia="en-GB"/>
    </w:rPr>
  </w:style>
  <w:style w:type="character" w:customStyle="1" w:styleId="Titre5Car">
    <w:name w:val="Titre 5 Car"/>
    <w:basedOn w:val="Policepardfaut"/>
    <w:link w:val="Titre5"/>
    <w:uiPriority w:val="99"/>
    <w:locked/>
    <w:rsid w:val="004A068F"/>
    <w:rPr>
      <w:rFonts w:ascii="Arial" w:hAnsi="Arial" w:cs="Times New Roman"/>
      <w:b/>
      <w:bCs/>
      <w:i/>
      <w:iCs/>
      <w:sz w:val="26"/>
      <w:szCs w:val="26"/>
      <w:lang w:val="en-GB" w:eastAsia="en-GB"/>
    </w:rPr>
  </w:style>
  <w:style w:type="paragraph" w:styleId="Textedebulles">
    <w:name w:val="Balloon Text"/>
    <w:basedOn w:val="Normal"/>
    <w:link w:val="TextedebullesCar"/>
    <w:uiPriority w:val="99"/>
    <w:semiHidden/>
    <w:rsid w:val="00E55B9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5B9A"/>
    <w:rPr>
      <w:rFonts w:ascii="Tahoma" w:hAnsi="Tahoma" w:cs="Tahoma"/>
      <w:sz w:val="16"/>
      <w:szCs w:val="16"/>
      <w:lang w:val="en-GB" w:eastAsia="en-GB"/>
    </w:rPr>
  </w:style>
  <w:style w:type="paragraph" w:styleId="En-tte">
    <w:name w:val="header"/>
    <w:basedOn w:val="Normal"/>
    <w:link w:val="En-tteCar"/>
    <w:uiPriority w:val="99"/>
    <w:semiHidden/>
    <w:rsid w:val="00213F98"/>
    <w:pPr>
      <w:tabs>
        <w:tab w:val="center" w:pos="4536"/>
        <w:tab w:val="right" w:pos="9072"/>
      </w:tabs>
    </w:pPr>
  </w:style>
  <w:style w:type="character" w:customStyle="1" w:styleId="En-tteCar">
    <w:name w:val="En-tête Car"/>
    <w:basedOn w:val="Policepardfaut"/>
    <w:link w:val="En-tte"/>
    <w:uiPriority w:val="99"/>
    <w:semiHidden/>
    <w:locked/>
    <w:rsid w:val="00213F98"/>
    <w:rPr>
      <w:rFonts w:ascii="Times New Roman" w:hAnsi="Times New Roman" w:cs="Times New Roman"/>
      <w:sz w:val="24"/>
      <w:lang w:val="en-GB"/>
    </w:rPr>
  </w:style>
  <w:style w:type="paragraph" w:styleId="Pieddepage">
    <w:name w:val="footer"/>
    <w:basedOn w:val="Normal"/>
    <w:link w:val="PieddepageCar"/>
    <w:uiPriority w:val="99"/>
    <w:semiHidden/>
    <w:rsid w:val="00213F98"/>
    <w:pPr>
      <w:tabs>
        <w:tab w:val="center" w:pos="4536"/>
        <w:tab w:val="right" w:pos="9072"/>
      </w:tabs>
    </w:pPr>
  </w:style>
  <w:style w:type="character" w:customStyle="1" w:styleId="PieddepageCar">
    <w:name w:val="Pied de page Car"/>
    <w:basedOn w:val="Policepardfaut"/>
    <w:link w:val="Pieddepage"/>
    <w:uiPriority w:val="99"/>
    <w:semiHidden/>
    <w:locked/>
    <w:rsid w:val="00213F98"/>
    <w:rPr>
      <w:rFonts w:ascii="Times New Roman" w:hAnsi="Times New Roman" w:cs="Times New Roman"/>
      <w:sz w:val="24"/>
      <w:lang w:val="en-GB"/>
    </w:rPr>
  </w:style>
  <w:style w:type="table" w:styleId="Grilledutableau">
    <w:name w:val="Table Grid"/>
    <w:basedOn w:val="TableauNormal"/>
    <w:uiPriority w:val="99"/>
    <w:rsid w:val="0056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ouleur-Accent2">
    <w:name w:val="Colorful Grid Accent 2"/>
    <w:basedOn w:val="TableauNormal"/>
    <w:uiPriority w:val="99"/>
    <w:rsid w:val="0056748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Marquedecommentaire">
    <w:name w:val="annotation reference"/>
    <w:basedOn w:val="Policepardfaut"/>
    <w:uiPriority w:val="99"/>
    <w:semiHidden/>
    <w:rsid w:val="00940B6D"/>
    <w:rPr>
      <w:rFonts w:cs="Times New Roman"/>
      <w:sz w:val="16"/>
      <w:szCs w:val="16"/>
    </w:rPr>
  </w:style>
  <w:style w:type="paragraph" w:styleId="Commentaire">
    <w:name w:val="annotation text"/>
    <w:basedOn w:val="Normal"/>
    <w:link w:val="CommentaireCar"/>
    <w:uiPriority w:val="99"/>
    <w:semiHidden/>
    <w:rsid w:val="00940B6D"/>
    <w:rPr>
      <w:sz w:val="20"/>
    </w:rPr>
  </w:style>
  <w:style w:type="character" w:customStyle="1" w:styleId="CommentaireCar">
    <w:name w:val="Commentaire Car"/>
    <w:basedOn w:val="Policepardfaut"/>
    <w:link w:val="Commentaire"/>
    <w:uiPriority w:val="99"/>
    <w:semiHidden/>
    <w:locked/>
    <w:rsid w:val="00940B6D"/>
    <w:rPr>
      <w:rFonts w:ascii="Arial"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rsid w:val="00940B6D"/>
    <w:rPr>
      <w:b/>
      <w:bCs/>
    </w:rPr>
  </w:style>
  <w:style w:type="character" w:customStyle="1" w:styleId="ObjetducommentaireCar">
    <w:name w:val="Objet du commentaire Car"/>
    <w:basedOn w:val="CommentaireCar"/>
    <w:link w:val="Objetducommentaire"/>
    <w:uiPriority w:val="99"/>
    <w:semiHidden/>
    <w:locked/>
    <w:rsid w:val="00940B6D"/>
    <w:rPr>
      <w:rFonts w:ascii="Arial" w:hAnsi="Arial" w:cs="Times New Roman"/>
      <w:b/>
      <w:bCs/>
      <w:sz w:val="20"/>
      <w:szCs w:val="20"/>
      <w:lang w:val="en-GB" w:eastAsia="en-GB"/>
    </w:rPr>
  </w:style>
  <w:style w:type="character" w:customStyle="1" w:styleId="longtext">
    <w:name w:val="long_text"/>
    <w:basedOn w:val="Policepardfaut"/>
    <w:uiPriority w:val="99"/>
    <w:rsid w:val="003073D0"/>
    <w:rPr>
      <w:rFonts w:cs="Times New Roman"/>
    </w:rPr>
  </w:style>
  <w:style w:type="paragraph" w:styleId="Paragraphedeliste">
    <w:name w:val="List Paragraph"/>
    <w:basedOn w:val="Normal"/>
    <w:uiPriority w:val="99"/>
    <w:qFormat/>
    <w:rsid w:val="000E45C8"/>
    <w:pPr>
      <w:ind w:left="720"/>
      <w:contextualSpacing/>
    </w:pPr>
  </w:style>
  <w:style w:type="paragraph" w:styleId="Notedebasdepage">
    <w:name w:val="footnote text"/>
    <w:basedOn w:val="Normal"/>
    <w:link w:val="NotedebasdepageCar"/>
    <w:uiPriority w:val="99"/>
    <w:semiHidden/>
    <w:rsid w:val="00044DD8"/>
    <w:rPr>
      <w:sz w:val="20"/>
    </w:rPr>
  </w:style>
  <w:style w:type="character" w:customStyle="1" w:styleId="NotedebasdepageCar">
    <w:name w:val="Note de bas de page Car"/>
    <w:basedOn w:val="Policepardfaut"/>
    <w:link w:val="Notedebasdepage"/>
    <w:uiPriority w:val="99"/>
    <w:semiHidden/>
    <w:locked/>
    <w:rsid w:val="00044DD8"/>
    <w:rPr>
      <w:rFonts w:ascii="Arial" w:hAnsi="Arial" w:cs="Times New Roman"/>
      <w:sz w:val="20"/>
      <w:szCs w:val="20"/>
      <w:lang w:val="en-GB" w:eastAsia="en-GB"/>
    </w:rPr>
  </w:style>
  <w:style w:type="character" w:styleId="Appelnotedebasdep">
    <w:name w:val="footnote reference"/>
    <w:basedOn w:val="Policepardfaut"/>
    <w:uiPriority w:val="99"/>
    <w:semiHidden/>
    <w:rsid w:val="00044DD8"/>
    <w:rPr>
      <w:rFonts w:cs="Times New Roman"/>
      <w:vertAlign w:val="superscript"/>
    </w:rPr>
  </w:style>
  <w:style w:type="character" w:styleId="Lienhypertexte">
    <w:name w:val="Hyperlink"/>
    <w:basedOn w:val="Policepardfaut"/>
    <w:uiPriority w:val="99"/>
    <w:unhideWhenUsed/>
    <w:rsid w:val="00C45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1295">
      <w:marLeft w:val="0"/>
      <w:marRight w:val="0"/>
      <w:marTop w:val="0"/>
      <w:marBottom w:val="0"/>
      <w:divBdr>
        <w:top w:val="none" w:sz="0" w:space="0" w:color="auto"/>
        <w:left w:val="none" w:sz="0" w:space="0" w:color="auto"/>
        <w:bottom w:val="none" w:sz="0" w:space="0" w:color="auto"/>
        <w:right w:val="none" w:sz="0" w:space="0" w:color="auto"/>
      </w:divBdr>
      <w:divsChild>
        <w:div w:id="1167861307">
          <w:marLeft w:val="0"/>
          <w:marRight w:val="0"/>
          <w:marTop w:val="0"/>
          <w:marBottom w:val="0"/>
          <w:divBdr>
            <w:top w:val="none" w:sz="0" w:space="0" w:color="auto"/>
            <w:left w:val="none" w:sz="0" w:space="0" w:color="auto"/>
            <w:bottom w:val="none" w:sz="0" w:space="0" w:color="auto"/>
            <w:right w:val="none" w:sz="0" w:space="0" w:color="auto"/>
          </w:divBdr>
          <w:divsChild>
            <w:div w:id="1167861309">
              <w:marLeft w:val="0"/>
              <w:marRight w:val="0"/>
              <w:marTop w:val="0"/>
              <w:marBottom w:val="0"/>
              <w:divBdr>
                <w:top w:val="none" w:sz="0" w:space="0" w:color="auto"/>
                <w:left w:val="none" w:sz="0" w:space="0" w:color="auto"/>
                <w:bottom w:val="none" w:sz="0" w:space="0" w:color="auto"/>
                <w:right w:val="none" w:sz="0" w:space="0" w:color="auto"/>
              </w:divBdr>
              <w:divsChild>
                <w:div w:id="1167861302">
                  <w:marLeft w:val="0"/>
                  <w:marRight w:val="0"/>
                  <w:marTop w:val="0"/>
                  <w:marBottom w:val="0"/>
                  <w:divBdr>
                    <w:top w:val="none" w:sz="0" w:space="0" w:color="auto"/>
                    <w:left w:val="none" w:sz="0" w:space="0" w:color="auto"/>
                    <w:bottom w:val="none" w:sz="0" w:space="0" w:color="auto"/>
                    <w:right w:val="none" w:sz="0" w:space="0" w:color="auto"/>
                  </w:divBdr>
                  <w:divsChild>
                    <w:div w:id="1167861300">
                      <w:marLeft w:val="0"/>
                      <w:marRight w:val="0"/>
                      <w:marTop w:val="0"/>
                      <w:marBottom w:val="0"/>
                      <w:divBdr>
                        <w:top w:val="none" w:sz="0" w:space="0" w:color="auto"/>
                        <w:left w:val="none" w:sz="0" w:space="0" w:color="auto"/>
                        <w:bottom w:val="none" w:sz="0" w:space="0" w:color="auto"/>
                        <w:right w:val="none" w:sz="0" w:space="0" w:color="auto"/>
                      </w:divBdr>
                      <w:divsChild>
                        <w:div w:id="1167861297">
                          <w:marLeft w:val="0"/>
                          <w:marRight w:val="0"/>
                          <w:marTop w:val="0"/>
                          <w:marBottom w:val="0"/>
                          <w:divBdr>
                            <w:top w:val="none" w:sz="0" w:space="0" w:color="auto"/>
                            <w:left w:val="none" w:sz="0" w:space="0" w:color="auto"/>
                            <w:bottom w:val="none" w:sz="0" w:space="0" w:color="auto"/>
                            <w:right w:val="none" w:sz="0" w:space="0" w:color="auto"/>
                          </w:divBdr>
                          <w:divsChild>
                            <w:div w:id="1167861299">
                              <w:marLeft w:val="0"/>
                              <w:marRight w:val="0"/>
                              <w:marTop w:val="0"/>
                              <w:marBottom w:val="0"/>
                              <w:divBdr>
                                <w:top w:val="none" w:sz="0" w:space="0" w:color="auto"/>
                                <w:left w:val="none" w:sz="0" w:space="0" w:color="auto"/>
                                <w:bottom w:val="none" w:sz="0" w:space="0" w:color="auto"/>
                                <w:right w:val="none" w:sz="0" w:space="0" w:color="auto"/>
                              </w:divBdr>
                              <w:divsChild>
                                <w:div w:id="1167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1301">
      <w:marLeft w:val="0"/>
      <w:marRight w:val="0"/>
      <w:marTop w:val="0"/>
      <w:marBottom w:val="0"/>
      <w:divBdr>
        <w:top w:val="none" w:sz="0" w:space="0" w:color="auto"/>
        <w:left w:val="none" w:sz="0" w:space="0" w:color="auto"/>
        <w:bottom w:val="none" w:sz="0" w:space="0" w:color="auto"/>
        <w:right w:val="none" w:sz="0" w:space="0" w:color="auto"/>
      </w:divBdr>
      <w:divsChild>
        <w:div w:id="1167861304">
          <w:marLeft w:val="0"/>
          <w:marRight w:val="0"/>
          <w:marTop w:val="0"/>
          <w:marBottom w:val="0"/>
          <w:divBdr>
            <w:top w:val="none" w:sz="0" w:space="0" w:color="auto"/>
            <w:left w:val="none" w:sz="0" w:space="0" w:color="auto"/>
            <w:bottom w:val="none" w:sz="0" w:space="0" w:color="auto"/>
            <w:right w:val="none" w:sz="0" w:space="0" w:color="auto"/>
          </w:divBdr>
          <w:divsChild>
            <w:div w:id="1167861308">
              <w:marLeft w:val="0"/>
              <w:marRight w:val="0"/>
              <w:marTop w:val="0"/>
              <w:marBottom w:val="0"/>
              <w:divBdr>
                <w:top w:val="none" w:sz="0" w:space="0" w:color="auto"/>
                <w:left w:val="none" w:sz="0" w:space="0" w:color="auto"/>
                <w:bottom w:val="none" w:sz="0" w:space="0" w:color="auto"/>
                <w:right w:val="none" w:sz="0" w:space="0" w:color="auto"/>
              </w:divBdr>
              <w:divsChild>
                <w:div w:id="1167861303">
                  <w:marLeft w:val="0"/>
                  <w:marRight w:val="0"/>
                  <w:marTop w:val="0"/>
                  <w:marBottom w:val="0"/>
                  <w:divBdr>
                    <w:top w:val="none" w:sz="0" w:space="0" w:color="auto"/>
                    <w:left w:val="none" w:sz="0" w:space="0" w:color="auto"/>
                    <w:bottom w:val="none" w:sz="0" w:space="0" w:color="auto"/>
                    <w:right w:val="none" w:sz="0" w:space="0" w:color="auto"/>
                  </w:divBdr>
                  <w:divsChild>
                    <w:div w:id="1167861305">
                      <w:marLeft w:val="0"/>
                      <w:marRight w:val="0"/>
                      <w:marTop w:val="0"/>
                      <w:marBottom w:val="0"/>
                      <w:divBdr>
                        <w:top w:val="none" w:sz="0" w:space="0" w:color="auto"/>
                        <w:left w:val="none" w:sz="0" w:space="0" w:color="auto"/>
                        <w:bottom w:val="none" w:sz="0" w:space="0" w:color="auto"/>
                        <w:right w:val="none" w:sz="0" w:space="0" w:color="auto"/>
                      </w:divBdr>
                      <w:divsChild>
                        <w:div w:id="1167861296">
                          <w:marLeft w:val="0"/>
                          <w:marRight w:val="0"/>
                          <w:marTop w:val="0"/>
                          <w:marBottom w:val="0"/>
                          <w:divBdr>
                            <w:top w:val="none" w:sz="0" w:space="0" w:color="auto"/>
                            <w:left w:val="none" w:sz="0" w:space="0" w:color="auto"/>
                            <w:bottom w:val="none" w:sz="0" w:space="0" w:color="auto"/>
                            <w:right w:val="none" w:sz="0" w:space="0" w:color="auto"/>
                          </w:divBdr>
                          <w:divsChild>
                            <w:div w:id="1167861294">
                              <w:marLeft w:val="0"/>
                              <w:marRight w:val="0"/>
                              <w:marTop w:val="0"/>
                              <w:marBottom w:val="0"/>
                              <w:divBdr>
                                <w:top w:val="none" w:sz="0" w:space="0" w:color="auto"/>
                                <w:left w:val="none" w:sz="0" w:space="0" w:color="auto"/>
                                <w:bottom w:val="none" w:sz="0" w:space="0" w:color="auto"/>
                                <w:right w:val="none" w:sz="0" w:space="0" w:color="auto"/>
                              </w:divBdr>
                              <w:divsChild>
                                <w:div w:id="1167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westafrica.frc@croix-roug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1770</Words>
  <Characters>9738</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Exemples de réalisations de la FAO:</vt:lpstr>
      <vt:lpstr>Exemples de réalisations de la FAO:</vt:lpstr>
    </vt:vector>
  </TitlesOfParts>
  <Company>FAO of the UN</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Exemples de réalisations de la FAO:</dc:title>
  <dc:creator>Nguyen, Sonia (FAOSN)</dc:creator>
  <cp:lastModifiedBy>xavier</cp:lastModifiedBy>
  <cp:revision>6</cp:revision>
  <cp:lastPrinted>2013-03-27T13:01:00Z</cp:lastPrinted>
  <dcterms:created xsi:type="dcterms:W3CDTF">2013-11-19T16:49:00Z</dcterms:created>
  <dcterms:modified xsi:type="dcterms:W3CDTF">2013-11-20T10:27:00Z</dcterms:modified>
</cp:coreProperties>
</file>