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1D" w:rsidRDefault="009F131D">
      <w:r>
        <w:t>Instructions :</w:t>
      </w:r>
    </w:p>
    <w:p w:rsidR="00971378" w:rsidRDefault="009F131D">
      <w:bookmarkStart w:id="0" w:name="_GoBack"/>
      <w:bookmarkEnd w:id="0"/>
      <w:r>
        <w:t>Utilisez la liste de contrôle ci-dessous pour passer en revue les partenaires avec lesquels vous comptez travailler dans le cadre de votre programme de transferts monétaires en milieu urbain.  Il est possible que votre organisation ou donateur ait d'autres exigences en ce qui concerne l'examen des partenaires, qui peuvent être ajoutées à la liste.  La documentation doit être archivée dans le bureau national concerné par le programme et scannée aux sièges, si possible, à des fins d'audits.</w:t>
      </w:r>
    </w:p>
    <w:p w:rsidR="009E7025" w:rsidRDefault="009E7025"/>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tblPr>
      <w:tblGrid>
        <w:gridCol w:w="465"/>
        <w:gridCol w:w="12618"/>
      </w:tblGrid>
      <w:tr w:rsidR="009E7025" w:rsidRPr="009E7025" w:rsidTr="009E7025">
        <w:trPr>
          <w:trHeight w:val="255"/>
        </w:trPr>
        <w:tc>
          <w:tcPr>
            <w:tcW w:w="465" w:type="dxa"/>
            <w:shd w:val="clear" w:color="auto" w:fill="244061" w:themeFill="accent1" w:themeFillShade="80"/>
          </w:tcPr>
          <w:p w:rsidR="009E7025" w:rsidRDefault="009E7025" w:rsidP="009E7025">
            <w:pPr>
              <w:spacing w:after="0" w:line="240" w:lineRule="auto"/>
              <w:rPr>
                <w:rFonts w:ascii="Arial" w:eastAsia="Times New Roman" w:hAnsi="Arial" w:cs="Arial"/>
                <w:b/>
                <w:bCs/>
                <w:sz w:val="20"/>
                <w:szCs w:val="20"/>
              </w:rPr>
            </w:pPr>
          </w:p>
        </w:tc>
        <w:tc>
          <w:tcPr>
            <w:tcW w:w="12618" w:type="dxa"/>
            <w:shd w:val="clear" w:color="auto" w:fill="244061" w:themeFill="accent1" w:themeFillShade="80"/>
            <w:noWrap/>
            <w:vAlign w:val="bottom"/>
            <w:hideMark/>
          </w:tcPr>
          <w:p w:rsidR="009E7025" w:rsidRPr="009E7025" w:rsidRDefault="009E7025" w:rsidP="009E7025">
            <w:pPr>
              <w:spacing w:after="0" w:line="240" w:lineRule="auto"/>
              <w:rPr>
                <w:rFonts w:ascii="Arial" w:eastAsia="Times New Roman" w:hAnsi="Arial" w:cs="Arial"/>
                <w:b/>
                <w:bCs/>
                <w:sz w:val="28"/>
                <w:szCs w:val="28"/>
              </w:rPr>
            </w:pPr>
            <w:r>
              <w:rPr>
                <w:rFonts w:ascii="Arial" w:hAnsi="Arial"/>
                <w:b/>
                <w:bCs/>
                <w:sz w:val="28"/>
                <w:szCs w:val="28"/>
              </w:rPr>
              <w:t>Liste de contrôle pour l'examen des partenaires pour les programmes de transferts monétaires en milieu urbain</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noWrap/>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Vérifiez le statut légal de l'organisation.</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noWrap/>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Vérifiez les déclaration d'impôts.</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Demandez des informations sur les acronymes ou les noms utilisés par l'organisation.</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noWrap/>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Contrôlez les rapports annuels et les audits externes s'ils sont disponibles.</w:t>
            </w:r>
          </w:p>
        </w:tc>
      </w:tr>
      <w:tr w:rsidR="009E7025" w:rsidRPr="009E7025" w:rsidTr="009E7025">
        <w:trPr>
          <w:trHeight w:val="350"/>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Contrôlez les sources de revenus, passées et actuelles, comme les subventions officielles, les donations privées, et les activités commerciales.</w:t>
            </w:r>
          </w:p>
        </w:tc>
      </w:tr>
      <w:tr w:rsidR="009E7025" w:rsidRPr="009E7025" w:rsidTr="009E7025">
        <w:trPr>
          <w:trHeight w:val="52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Faites des recherches sur les informations générales concernant l'organisation disponibles au grand public (site Internet, informations en accès public sur Internet, articles, etc.)</w:t>
            </w:r>
          </w:p>
        </w:tc>
      </w:tr>
      <w:tr w:rsidR="009E7025" w:rsidRPr="009E7025" w:rsidTr="009E7025">
        <w:trPr>
          <w:trHeight w:val="350"/>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 xml:space="preserve">Renseignez-vous sur les adhésions et/ou l'affiliation de l'organisation à d'autres consortiums, alliances, etc. </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Renseignez-vous sur les instruments concernant la gouvernance ou la constitution de l'organisation.</w:t>
            </w:r>
          </w:p>
        </w:tc>
      </w:tr>
      <w:tr w:rsidR="009E7025" w:rsidRPr="009E7025" w:rsidTr="009E7025">
        <w:trPr>
          <w:trHeight w:val="510"/>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Consultez les critiques et évaluations fournies par les organisations locales ou internationales concernant l'administration et la performance des programmes de l'organisation, si possible.</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Rassemblez des informations sur les juridictions dans lesquelles l'organisation garde une présence physique.</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Collectez les adresses et les numéros de téléphone de chaque locaux de l'organisation.</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Rassemblez les noms et adresses de chaque organisation sous-traitante utilisée par le sous-contractant potentiel</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Passez en revue les références des partenai</w:t>
            </w:r>
            <w:r w:rsidR="00893316">
              <w:rPr>
                <w:rFonts w:ascii="Arial" w:hAnsi="Arial"/>
              </w:rPr>
              <w:t xml:space="preserve">res/sous-contractants/donateurs </w:t>
            </w:r>
            <w:r>
              <w:rPr>
                <w:rFonts w:ascii="Arial" w:hAnsi="Arial"/>
              </w:rPr>
              <w:t>de l'organisation, passés et actuels.</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Pr="009E7025" w:rsidRDefault="009E7025" w:rsidP="009E7025">
            <w:pPr>
              <w:spacing w:after="0" w:line="240" w:lineRule="auto"/>
              <w:rPr>
                <w:rFonts w:ascii="Arial" w:eastAsia="Times New Roman" w:hAnsi="Arial" w:cs="Arial"/>
              </w:rPr>
            </w:pPr>
            <w:r>
              <w:rPr>
                <w:rFonts w:ascii="Arial" w:hAnsi="Arial"/>
              </w:rPr>
              <w:t>Consultez les références provenant des autorités locales, si elles sont disponibles.</w:t>
            </w:r>
          </w:p>
        </w:tc>
      </w:tr>
      <w:tr w:rsidR="009E7025" w:rsidRPr="009E7025" w:rsidTr="009E7025">
        <w:trPr>
          <w:trHeight w:val="255"/>
        </w:trPr>
        <w:tc>
          <w:tcPr>
            <w:tcW w:w="465" w:type="dxa"/>
          </w:tcPr>
          <w:p w:rsidR="009E7025" w:rsidRPr="009E7025" w:rsidRDefault="009E7025" w:rsidP="009E7025">
            <w:pPr>
              <w:spacing w:after="0" w:line="240" w:lineRule="auto"/>
              <w:rPr>
                <w:rFonts w:ascii="Arial" w:eastAsia="Times New Roman" w:hAnsi="Arial" w:cs="Arial"/>
                <w:sz w:val="20"/>
                <w:szCs w:val="20"/>
              </w:rPr>
            </w:pPr>
          </w:p>
        </w:tc>
        <w:tc>
          <w:tcPr>
            <w:tcW w:w="12618" w:type="dxa"/>
            <w:shd w:val="clear" w:color="auto" w:fill="auto"/>
            <w:vAlign w:val="bottom"/>
            <w:hideMark/>
          </w:tcPr>
          <w:p w:rsidR="009E7025" w:rsidRDefault="009E7025" w:rsidP="009E7025">
            <w:pPr>
              <w:spacing w:after="0" w:line="240" w:lineRule="auto"/>
              <w:rPr>
                <w:rFonts w:ascii="Arial" w:eastAsia="Times New Roman" w:hAnsi="Arial" w:cs="Arial"/>
              </w:rPr>
            </w:pPr>
            <w:r>
              <w:rPr>
                <w:rFonts w:ascii="Arial" w:hAnsi="Arial"/>
              </w:rPr>
              <w:t xml:space="preserve">Contrôlez la structure de gouvernance des organisations :    </w:t>
            </w:r>
          </w:p>
          <w:p w:rsidR="009E7025" w:rsidRDefault="009E7025" w:rsidP="009E7025">
            <w:pPr>
              <w:pStyle w:val="ListParagraph"/>
              <w:numPr>
                <w:ilvl w:val="0"/>
                <w:numId w:val="1"/>
              </w:numPr>
              <w:spacing w:after="0" w:line="240" w:lineRule="auto"/>
              <w:rPr>
                <w:rFonts w:ascii="Arial" w:eastAsia="Times New Roman" w:hAnsi="Arial" w:cs="Arial"/>
              </w:rPr>
            </w:pPr>
            <w:r>
              <w:rPr>
                <w:rFonts w:ascii="Arial" w:hAnsi="Arial"/>
              </w:rPr>
              <w:t>Capacité et compétences actuelles</w:t>
            </w:r>
          </w:p>
          <w:p w:rsidR="009E7025" w:rsidRDefault="009E7025" w:rsidP="009E7025">
            <w:pPr>
              <w:pStyle w:val="ListParagraph"/>
              <w:numPr>
                <w:ilvl w:val="0"/>
                <w:numId w:val="1"/>
              </w:numPr>
              <w:spacing w:after="0" w:line="240" w:lineRule="auto"/>
              <w:rPr>
                <w:rFonts w:ascii="Arial" w:eastAsia="Times New Roman" w:hAnsi="Arial" w:cs="Arial"/>
              </w:rPr>
            </w:pPr>
            <w:r>
              <w:rPr>
                <w:rFonts w:ascii="Arial" w:hAnsi="Arial"/>
              </w:rPr>
              <w:t>Expérience préalable du personnel</w:t>
            </w:r>
          </w:p>
          <w:p w:rsidR="009E7025" w:rsidRPr="009E7025" w:rsidRDefault="009E7025" w:rsidP="009E7025">
            <w:pPr>
              <w:pStyle w:val="ListParagraph"/>
              <w:numPr>
                <w:ilvl w:val="0"/>
                <w:numId w:val="1"/>
              </w:numPr>
              <w:spacing w:after="0" w:line="240" w:lineRule="auto"/>
              <w:rPr>
                <w:rFonts w:ascii="Arial" w:eastAsia="Times New Roman" w:hAnsi="Arial" w:cs="Arial"/>
              </w:rPr>
            </w:pPr>
            <w:r>
              <w:rPr>
                <w:rFonts w:ascii="Arial" w:hAnsi="Arial"/>
              </w:rPr>
              <w:t>Conflits d'intérêts ou chevauchement des intérêts</w:t>
            </w:r>
          </w:p>
          <w:p w:rsidR="009E7025" w:rsidRPr="009E7025" w:rsidRDefault="009E7025" w:rsidP="009E7025">
            <w:pPr>
              <w:spacing w:after="0" w:line="240" w:lineRule="auto"/>
              <w:rPr>
                <w:rFonts w:ascii="Arial" w:eastAsia="Times New Roman" w:hAnsi="Arial" w:cs="Arial"/>
              </w:rPr>
            </w:pPr>
            <w:r>
              <w:rPr>
                <w:rFonts w:ascii="Arial" w:hAnsi="Arial"/>
              </w:rPr>
              <w:t xml:space="preserve">                              </w:t>
            </w:r>
          </w:p>
        </w:tc>
      </w:tr>
    </w:tbl>
    <w:p w:rsidR="009E7025" w:rsidRDefault="009E7025"/>
    <w:sectPr w:rsidR="009E7025" w:rsidSect="009E702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D4" w:rsidRDefault="00AC17D4" w:rsidP="009E7025">
      <w:pPr>
        <w:spacing w:after="0" w:line="240" w:lineRule="auto"/>
      </w:pPr>
      <w:r>
        <w:separator/>
      </w:r>
    </w:p>
  </w:endnote>
  <w:endnote w:type="continuationSeparator" w:id="0">
    <w:p w:rsidR="00AC17D4" w:rsidRDefault="00AC17D4" w:rsidP="009E7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D4" w:rsidRDefault="00AC17D4" w:rsidP="009E7025">
      <w:pPr>
        <w:spacing w:after="0" w:line="240" w:lineRule="auto"/>
      </w:pPr>
      <w:r>
        <w:separator/>
      </w:r>
    </w:p>
  </w:footnote>
  <w:footnote w:type="continuationSeparator" w:id="0">
    <w:p w:rsidR="00AC17D4" w:rsidRDefault="00AC17D4" w:rsidP="009E7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25" w:rsidRDefault="009E7025">
    <w:pPr>
      <w:pStyle w:val="Header"/>
    </w:pPr>
    <w:r>
      <w:t>Boîte à outils pour le milieu urbain</w:t>
    </w:r>
    <w:r>
      <w:tab/>
    </w:r>
    <w:r w:rsidR="00AD4B4E">
      <w:tab/>
    </w:r>
    <w:r w:rsidR="00AD4B4E">
      <w:tab/>
    </w:r>
    <w:r w:rsidR="00956B6A">
      <w:t>Annexe : o</w:t>
    </w:r>
    <w:r>
      <w:t>util 12</w:t>
    </w:r>
  </w:p>
  <w:p w:rsidR="009E7025" w:rsidRDefault="009E7025" w:rsidP="00AD4B4E">
    <w:pPr>
      <w:pStyle w:val="Header"/>
      <w:ind w:left="10080"/>
    </w:pPr>
    <w:r>
      <w:t>Liste de contrôle pour l'examen des partenaires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0009"/>
    <w:multiLevelType w:val="hybridMultilevel"/>
    <w:tmpl w:val="BE5C6D7E"/>
    <w:lvl w:ilvl="0" w:tplc="23467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7025"/>
    <w:rsid w:val="00087A22"/>
    <w:rsid w:val="002A1A2F"/>
    <w:rsid w:val="00893316"/>
    <w:rsid w:val="00956B6A"/>
    <w:rsid w:val="00971378"/>
    <w:rsid w:val="009E7025"/>
    <w:rsid w:val="009F131D"/>
    <w:rsid w:val="00AC17D4"/>
    <w:rsid w:val="00AD4B4E"/>
    <w:rsid w:val="00BD3823"/>
    <w:rsid w:val="00CD41E9"/>
    <w:rsid w:val="00EF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25"/>
    <w:pPr>
      <w:ind w:left="720"/>
      <w:contextualSpacing/>
    </w:pPr>
  </w:style>
  <w:style w:type="paragraph" w:styleId="Header">
    <w:name w:val="header"/>
    <w:basedOn w:val="Normal"/>
    <w:link w:val="HeaderChar"/>
    <w:uiPriority w:val="99"/>
    <w:unhideWhenUsed/>
    <w:rsid w:val="009E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025"/>
  </w:style>
  <w:style w:type="paragraph" w:styleId="Footer">
    <w:name w:val="footer"/>
    <w:basedOn w:val="Normal"/>
    <w:link w:val="FooterChar"/>
    <w:uiPriority w:val="99"/>
    <w:unhideWhenUsed/>
    <w:rsid w:val="009E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025"/>
  </w:style>
  <w:style w:type="paragraph" w:styleId="BalloonText">
    <w:name w:val="Balloon Text"/>
    <w:basedOn w:val="Normal"/>
    <w:link w:val="BalloonTextChar"/>
    <w:uiPriority w:val="99"/>
    <w:semiHidden/>
    <w:unhideWhenUsed/>
    <w:rsid w:val="009E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25"/>
    <w:pPr>
      <w:ind w:left="720"/>
      <w:contextualSpacing/>
    </w:pPr>
  </w:style>
  <w:style w:type="paragraph" w:styleId="Header">
    <w:name w:val="header"/>
    <w:basedOn w:val="Normal"/>
    <w:link w:val="HeaderChar"/>
    <w:uiPriority w:val="99"/>
    <w:unhideWhenUsed/>
    <w:rsid w:val="009E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025"/>
  </w:style>
  <w:style w:type="paragraph" w:styleId="Footer">
    <w:name w:val="footer"/>
    <w:basedOn w:val="Normal"/>
    <w:link w:val="FooterChar"/>
    <w:uiPriority w:val="99"/>
    <w:unhideWhenUsed/>
    <w:rsid w:val="009E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025"/>
  </w:style>
  <w:style w:type="paragraph" w:styleId="BalloonText">
    <w:name w:val="Balloon Text"/>
    <w:basedOn w:val="Normal"/>
    <w:link w:val="BalloonTextChar"/>
    <w:uiPriority w:val="99"/>
    <w:semiHidden/>
    <w:unhideWhenUsed/>
    <w:rsid w:val="009E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mmenichini</cp:lastModifiedBy>
  <cp:revision>5</cp:revision>
  <dcterms:created xsi:type="dcterms:W3CDTF">2011-12-13T20:51:00Z</dcterms:created>
  <dcterms:modified xsi:type="dcterms:W3CDTF">2012-03-07T11:05:00Z</dcterms:modified>
</cp:coreProperties>
</file>