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91" w:rsidRPr="006E4DA8" w:rsidRDefault="009032AB" w:rsidP="009032AB">
      <w:pPr>
        <w:pStyle w:val="Heading1"/>
        <w:jc w:val="center"/>
        <w:rPr>
          <w:color w:val="2F2B20" w:themeColor="text1"/>
        </w:rPr>
      </w:pPr>
      <w:bookmarkStart w:id="0" w:name="_GoBack"/>
      <w:bookmarkEnd w:id="0"/>
      <w:r>
        <w:rPr>
          <w:color w:val="2F2B20" w:themeColor="text1"/>
        </w:rPr>
        <w:t>Directives opérationnelles – Modèle</w:t>
      </w:r>
    </w:p>
    <w:p w:rsidR="00736E91" w:rsidRDefault="00736E91" w:rsidP="00736E91"/>
    <w:p w:rsidR="00B758A5" w:rsidRDefault="009032AB" w:rsidP="009032AB">
      <w:pPr>
        <w:rPr>
          <w:rFonts w:asciiTheme="minorHAnsi" w:hAnsiTheme="minorHAnsi" w:cstheme="minorHAnsi"/>
        </w:rPr>
      </w:pPr>
      <w:r>
        <w:rPr>
          <w:rFonts w:asciiTheme="minorHAnsi" w:hAnsiTheme="minorHAnsi" w:cstheme="minorHAnsi"/>
        </w:rPr>
        <w:t>Établir des directives opérationnelles claires pour votre programme de transferts monétaires améliorera l'efficacité avec laquelle le programme est mis en œuvre en interne, mais aussi développera une observation cohérente des directives opérationnelles en externe.  En général, ces directives doivent rester internes à l'organisation mais être partagées avec les donateurs et les partenaires du projet, ainsi qu'avec les contrôleurs et les évaluateurs.  Ces directives peuvent être brèves, sous forme de liste à puces pour couvrir les sujets principaux.</w:t>
      </w:r>
    </w:p>
    <w:p w:rsidR="009032AB" w:rsidRDefault="009032AB" w:rsidP="009032AB">
      <w:pPr>
        <w:rPr>
          <w:rFonts w:asciiTheme="minorHAnsi" w:hAnsiTheme="minorHAnsi" w:cstheme="minorHAnsi"/>
        </w:rPr>
      </w:pPr>
    </w:p>
    <w:p w:rsidR="009032AB" w:rsidRPr="00DA3AF2" w:rsidRDefault="009032AB" w:rsidP="009032AB">
      <w:pPr>
        <w:rPr>
          <w:rFonts w:asciiTheme="minorHAnsi" w:hAnsiTheme="minorHAnsi" w:cstheme="minorHAnsi"/>
          <w:u w:val="single"/>
        </w:rPr>
      </w:pPr>
      <w:r>
        <w:rPr>
          <w:rFonts w:asciiTheme="minorHAnsi" w:hAnsiTheme="minorHAnsi" w:cstheme="minorHAnsi"/>
          <w:u w:val="single"/>
        </w:rPr>
        <w:t>Liste de sujets devant être abordés par les directives opérationnelles</w:t>
      </w:r>
    </w:p>
    <w:p w:rsidR="009032AB" w:rsidRDefault="009032AB" w:rsidP="009032AB">
      <w:pPr>
        <w:rPr>
          <w:rFonts w:asciiTheme="minorHAnsi" w:hAnsiTheme="minorHAnsi" w:cstheme="minorHAnsi"/>
        </w:rPr>
      </w:pPr>
    </w:p>
    <w:p w:rsidR="009032AB" w:rsidRDefault="009032AB" w:rsidP="009032AB">
      <w:pPr>
        <w:pStyle w:val="ListParagraph"/>
        <w:numPr>
          <w:ilvl w:val="0"/>
          <w:numId w:val="20"/>
        </w:numPr>
        <w:rPr>
          <w:rFonts w:asciiTheme="minorHAnsi" w:hAnsiTheme="minorHAnsi" w:cstheme="minorHAnsi"/>
        </w:rPr>
      </w:pPr>
      <w:r>
        <w:rPr>
          <w:rFonts w:asciiTheme="minorHAnsi" w:hAnsiTheme="minorHAnsi" w:cstheme="minorHAnsi"/>
        </w:rPr>
        <w:t>Des études de base du programme de transferts monétaires en milieu urbain</w:t>
      </w:r>
    </w:p>
    <w:p w:rsidR="009032AB" w:rsidRDefault="009032AB" w:rsidP="009032AB">
      <w:pPr>
        <w:pStyle w:val="ListParagraph"/>
        <w:numPr>
          <w:ilvl w:val="0"/>
          <w:numId w:val="20"/>
        </w:numPr>
        <w:rPr>
          <w:rFonts w:asciiTheme="minorHAnsi" w:hAnsiTheme="minorHAnsi" w:cstheme="minorHAnsi"/>
        </w:rPr>
      </w:pPr>
      <w:r>
        <w:rPr>
          <w:rFonts w:asciiTheme="minorHAnsi" w:hAnsiTheme="minorHAnsi" w:cstheme="minorHAnsi"/>
        </w:rPr>
        <w:t>Un énoncé des besoins</w:t>
      </w:r>
    </w:p>
    <w:p w:rsidR="009032AB" w:rsidRDefault="009032AB" w:rsidP="009032AB">
      <w:pPr>
        <w:pStyle w:val="ListParagraph"/>
        <w:numPr>
          <w:ilvl w:val="0"/>
          <w:numId w:val="20"/>
        </w:numPr>
        <w:rPr>
          <w:rFonts w:asciiTheme="minorHAnsi" w:hAnsiTheme="minorHAnsi" w:cstheme="minorHAnsi"/>
        </w:rPr>
      </w:pPr>
      <w:r>
        <w:rPr>
          <w:rFonts w:asciiTheme="minorHAnsi" w:hAnsiTheme="minorHAnsi" w:cstheme="minorHAnsi"/>
        </w:rPr>
        <w:t>Les problèmes principaux auxquels font face les groupes cibles</w:t>
      </w:r>
    </w:p>
    <w:p w:rsidR="009032AB" w:rsidRDefault="009032AB" w:rsidP="009032AB">
      <w:pPr>
        <w:pStyle w:val="ListParagraph"/>
        <w:numPr>
          <w:ilvl w:val="0"/>
          <w:numId w:val="20"/>
        </w:numPr>
        <w:rPr>
          <w:rFonts w:asciiTheme="minorHAnsi" w:hAnsiTheme="minorHAnsi" w:cstheme="minorHAnsi"/>
        </w:rPr>
      </w:pPr>
      <w:r>
        <w:rPr>
          <w:rFonts w:asciiTheme="minorHAnsi" w:hAnsiTheme="minorHAnsi" w:cstheme="minorHAnsi"/>
        </w:rPr>
        <w:t>La stratégie du projet</w:t>
      </w:r>
    </w:p>
    <w:p w:rsidR="009032AB" w:rsidRDefault="009032AB" w:rsidP="009032AB">
      <w:pPr>
        <w:pStyle w:val="ListParagraph"/>
        <w:numPr>
          <w:ilvl w:val="0"/>
          <w:numId w:val="20"/>
        </w:numPr>
        <w:rPr>
          <w:rFonts w:asciiTheme="minorHAnsi" w:hAnsiTheme="minorHAnsi" w:cstheme="minorHAnsi"/>
        </w:rPr>
      </w:pPr>
      <w:r>
        <w:rPr>
          <w:rFonts w:asciiTheme="minorHAnsi" w:hAnsiTheme="minorHAnsi" w:cstheme="minorHAnsi"/>
        </w:rPr>
        <w:t>Les villes et ménages concernés par le projet</w:t>
      </w:r>
    </w:p>
    <w:p w:rsidR="009032AB" w:rsidRDefault="009032AB" w:rsidP="009032AB">
      <w:pPr>
        <w:pStyle w:val="ListParagraph"/>
        <w:numPr>
          <w:ilvl w:val="0"/>
          <w:numId w:val="20"/>
        </w:numPr>
        <w:rPr>
          <w:rFonts w:asciiTheme="minorHAnsi" w:hAnsiTheme="minorHAnsi" w:cstheme="minorHAnsi"/>
        </w:rPr>
      </w:pPr>
      <w:r>
        <w:rPr>
          <w:rFonts w:asciiTheme="minorHAnsi" w:hAnsiTheme="minorHAnsi" w:cstheme="minorHAnsi"/>
        </w:rPr>
        <w:t>Le cadre à la base de la sélection des villes cibles et le nombre de bénéficiaires pour chacune d'entre elles</w:t>
      </w:r>
    </w:p>
    <w:p w:rsidR="009032AB" w:rsidRDefault="009032AB" w:rsidP="009032AB">
      <w:pPr>
        <w:pStyle w:val="ListParagraph"/>
        <w:numPr>
          <w:ilvl w:val="0"/>
          <w:numId w:val="20"/>
        </w:numPr>
        <w:rPr>
          <w:rFonts w:asciiTheme="minorHAnsi" w:hAnsiTheme="minorHAnsi" w:cstheme="minorHAnsi"/>
        </w:rPr>
      </w:pPr>
      <w:r>
        <w:rPr>
          <w:rFonts w:asciiTheme="minorHAnsi" w:hAnsiTheme="minorHAnsi" w:cstheme="minorHAnsi"/>
        </w:rPr>
        <w:t>Les articles (alimentaires / non alimentaires) à acheter en espèces / avec des coupons</w:t>
      </w:r>
    </w:p>
    <w:p w:rsidR="009032AB" w:rsidRDefault="009032AB" w:rsidP="009032AB">
      <w:pPr>
        <w:pStyle w:val="ListParagraph"/>
        <w:numPr>
          <w:ilvl w:val="0"/>
          <w:numId w:val="20"/>
        </w:numPr>
        <w:rPr>
          <w:rFonts w:asciiTheme="minorHAnsi" w:hAnsiTheme="minorHAnsi" w:cstheme="minorHAnsi"/>
        </w:rPr>
      </w:pPr>
      <w:r>
        <w:rPr>
          <w:rFonts w:asciiTheme="minorHAnsi" w:hAnsiTheme="minorHAnsi" w:cstheme="minorHAnsi"/>
        </w:rPr>
        <w:t>Les conditions régissant les transferts d'espèces / de coupons (par exemple, nombre de jours de travail, sessions de formations, preuves de reconstruction des maisons par les habitants eux-mêmes, etc.)</w:t>
      </w:r>
    </w:p>
    <w:p w:rsidR="009032AB" w:rsidRDefault="009032AB" w:rsidP="009032AB">
      <w:pPr>
        <w:pStyle w:val="ListParagraph"/>
        <w:numPr>
          <w:ilvl w:val="0"/>
          <w:numId w:val="20"/>
        </w:numPr>
        <w:rPr>
          <w:rFonts w:asciiTheme="minorHAnsi" w:hAnsiTheme="minorHAnsi" w:cstheme="minorHAnsi"/>
        </w:rPr>
      </w:pPr>
      <w:r>
        <w:rPr>
          <w:rFonts w:asciiTheme="minorHAnsi" w:hAnsiTheme="minorHAnsi" w:cstheme="minorHAnsi"/>
        </w:rPr>
        <w:t>Les conditions régissant l'utilisation des espèces et des coupons (où les échanger, chez quels vendeurs, etc.)</w:t>
      </w:r>
    </w:p>
    <w:p w:rsidR="009032AB" w:rsidRDefault="009032AB" w:rsidP="009032AB">
      <w:pPr>
        <w:pStyle w:val="ListParagraph"/>
        <w:numPr>
          <w:ilvl w:val="0"/>
          <w:numId w:val="20"/>
        </w:numPr>
        <w:rPr>
          <w:rFonts w:asciiTheme="minorHAnsi" w:hAnsiTheme="minorHAnsi" w:cstheme="minorHAnsi"/>
        </w:rPr>
      </w:pPr>
      <w:r>
        <w:rPr>
          <w:rFonts w:asciiTheme="minorHAnsi" w:hAnsiTheme="minorHAnsi" w:cstheme="minorHAnsi"/>
        </w:rPr>
        <w:t>Valeurs des transferts monétaires / des coupons</w:t>
      </w:r>
    </w:p>
    <w:p w:rsidR="009032AB" w:rsidRDefault="009032AB" w:rsidP="009032AB">
      <w:pPr>
        <w:pStyle w:val="ListParagraph"/>
        <w:numPr>
          <w:ilvl w:val="0"/>
          <w:numId w:val="20"/>
        </w:numPr>
        <w:rPr>
          <w:rFonts w:asciiTheme="minorHAnsi" w:hAnsiTheme="minorHAnsi" w:cstheme="minorHAnsi"/>
        </w:rPr>
      </w:pPr>
      <w:r>
        <w:rPr>
          <w:rFonts w:asciiTheme="minorHAnsi" w:hAnsiTheme="minorHAnsi" w:cstheme="minorHAnsi"/>
        </w:rPr>
        <w:t>Nombre et fréquence des distributions de coupons et des transferts monétaires</w:t>
      </w:r>
    </w:p>
    <w:p w:rsidR="009032AB" w:rsidRDefault="009032AB" w:rsidP="009032AB">
      <w:pPr>
        <w:pStyle w:val="ListParagraph"/>
        <w:numPr>
          <w:ilvl w:val="0"/>
          <w:numId w:val="20"/>
        </w:numPr>
        <w:rPr>
          <w:rFonts w:asciiTheme="minorHAnsi" w:hAnsiTheme="minorHAnsi" w:cstheme="minorHAnsi"/>
        </w:rPr>
      </w:pPr>
      <w:r>
        <w:rPr>
          <w:rFonts w:asciiTheme="minorHAnsi" w:hAnsiTheme="minorHAnsi" w:cstheme="minorHAnsi"/>
        </w:rPr>
        <w:t>Rôles et responsabilités : comités de communautés locales, vendeurs, ONG chef de file, donateur, etc.</w:t>
      </w:r>
    </w:p>
    <w:p w:rsidR="009032AB" w:rsidRDefault="009032AB" w:rsidP="009032AB">
      <w:pPr>
        <w:pStyle w:val="ListParagraph"/>
        <w:numPr>
          <w:ilvl w:val="0"/>
          <w:numId w:val="20"/>
        </w:numPr>
        <w:rPr>
          <w:rFonts w:asciiTheme="minorHAnsi" w:hAnsiTheme="minorHAnsi" w:cstheme="minorHAnsi"/>
        </w:rPr>
      </w:pPr>
      <w:r>
        <w:rPr>
          <w:rFonts w:asciiTheme="minorHAnsi" w:hAnsiTheme="minorHAnsi" w:cstheme="minorHAnsi"/>
        </w:rPr>
        <w:t>Cycle de paiement des magasins ou transfert vers le programme d'une institution financière</w:t>
      </w:r>
    </w:p>
    <w:p w:rsidR="009032AB" w:rsidRDefault="009032AB" w:rsidP="009032AB">
      <w:pPr>
        <w:pStyle w:val="ListParagraph"/>
        <w:numPr>
          <w:ilvl w:val="0"/>
          <w:numId w:val="20"/>
        </w:numPr>
        <w:rPr>
          <w:rFonts w:asciiTheme="minorHAnsi" w:hAnsiTheme="minorHAnsi" w:cstheme="minorHAnsi"/>
        </w:rPr>
      </w:pPr>
      <w:r>
        <w:rPr>
          <w:rFonts w:asciiTheme="minorHAnsi" w:hAnsiTheme="minorHAnsi" w:cstheme="minorHAnsi"/>
        </w:rPr>
        <w:t>Le format des carte ou des coupons transmis aux bénéficiaires</w:t>
      </w:r>
    </w:p>
    <w:p w:rsidR="009032AB" w:rsidRDefault="009032AB" w:rsidP="009032AB">
      <w:pPr>
        <w:pStyle w:val="ListParagraph"/>
        <w:numPr>
          <w:ilvl w:val="0"/>
          <w:numId w:val="20"/>
        </w:numPr>
        <w:rPr>
          <w:rFonts w:asciiTheme="minorHAnsi" w:hAnsiTheme="minorHAnsi" w:cstheme="minorHAnsi"/>
        </w:rPr>
      </w:pPr>
      <w:r>
        <w:rPr>
          <w:rFonts w:asciiTheme="minorHAnsi" w:hAnsiTheme="minorHAnsi" w:cstheme="minorHAnsi"/>
        </w:rPr>
        <w:t>Les numéros de série et l'impression</w:t>
      </w:r>
    </w:p>
    <w:p w:rsidR="009032AB" w:rsidRDefault="009032AB" w:rsidP="009032AB">
      <w:pPr>
        <w:pStyle w:val="ListParagraph"/>
        <w:numPr>
          <w:ilvl w:val="0"/>
          <w:numId w:val="20"/>
        </w:numPr>
        <w:rPr>
          <w:rFonts w:asciiTheme="minorHAnsi" w:hAnsiTheme="minorHAnsi" w:cstheme="minorHAnsi"/>
        </w:rPr>
      </w:pPr>
      <w:r>
        <w:rPr>
          <w:rFonts w:asciiTheme="minorHAnsi" w:hAnsiTheme="minorHAnsi" w:cstheme="minorHAnsi"/>
        </w:rPr>
        <w:t>La distribution des cartes ou des coupons aux bénéficiaires</w:t>
      </w:r>
    </w:p>
    <w:p w:rsidR="009032AB" w:rsidRDefault="009032AB" w:rsidP="009032AB">
      <w:pPr>
        <w:pStyle w:val="ListParagraph"/>
        <w:numPr>
          <w:ilvl w:val="0"/>
          <w:numId w:val="20"/>
        </w:numPr>
        <w:rPr>
          <w:rFonts w:asciiTheme="minorHAnsi" w:hAnsiTheme="minorHAnsi" w:cstheme="minorHAnsi"/>
        </w:rPr>
      </w:pPr>
      <w:r>
        <w:rPr>
          <w:rFonts w:asciiTheme="minorHAnsi" w:hAnsiTheme="minorHAnsi" w:cstheme="minorHAnsi"/>
        </w:rPr>
        <w:t>L'évaluation des risques et la redevabilité</w:t>
      </w:r>
    </w:p>
    <w:p w:rsidR="009032AB" w:rsidRDefault="009032AB" w:rsidP="009032AB">
      <w:pPr>
        <w:pStyle w:val="ListParagraph"/>
        <w:numPr>
          <w:ilvl w:val="0"/>
          <w:numId w:val="20"/>
        </w:numPr>
        <w:rPr>
          <w:rFonts w:asciiTheme="minorHAnsi" w:hAnsiTheme="minorHAnsi" w:cstheme="minorHAnsi"/>
        </w:rPr>
      </w:pPr>
      <w:r>
        <w:rPr>
          <w:rFonts w:asciiTheme="minorHAnsi" w:hAnsiTheme="minorHAnsi" w:cstheme="minorHAnsi"/>
        </w:rPr>
        <w:t>Les dispositions financières concernant les liquidités internes destinées à financer le projet</w:t>
      </w:r>
    </w:p>
    <w:p w:rsidR="009032AB" w:rsidRDefault="009032AB" w:rsidP="009032AB">
      <w:pPr>
        <w:pStyle w:val="ListParagraph"/>
        <w:numPr>
          <w:ilvl w:val="0"/>
          <w:numId w:val="20"/>
        </w:numPr>
        <w:rPr>
          <w:rFonts w:asciiTheme="minorHAnsi" w:hAnsiTheme="minorHAnsi" w:cstheme="minorHAnsi"/>
        </w:rPr>
      </w:pPr>
      <w:r>
        <w:rPr>
          <w:rFonts w:asciiTheme="minorHAnsi" w:hAnsiTheme="minorHAnsi" w:cstheme="minorHAnsi"/>
        </w:rPr>
        <w:t>Une sélection de vendeurs/magasins/commerçants/institutions de micro-financement/sociétés de transferts</w:t>
      </w:r>
    </w:p>
    <w:p w:rsidR="009032AB" w:rsidRDefault="00DA3AF2" w:rsidP="009032AB">
      <w:pPr>
        <w:pStyle w:val="ListParagraph"/>
        <w:numPr>
          <w:ilvl w:val="0"/>
          <w:numId w:val="20"/>
        </w:numPr>
        <w:rPr>
          <w:rFonts w:asciiTheme="minorHAnsi" w:hAnsiTheme="minorHAnsi" w:cstheme="minorHAnsi"/>
        </w:rPr>
      </w:pPr>
      <w:r>
        <w:rPr>
          <w:rFonts w:asciiTheme="minorHAnsi" w:hAnsiTheme="minorHAnsi" w:cstheme="minorHAnsi"/>
        </w:rPr>
        <w:t>Les accords entre l'ONG et les autres institutions impliquées</w:t>
      </w:r>
    </w:p>
    <w:p w:rsidR="00DA3AF2" w:rsidRDefault="00DA3AF2" w:rsidP="009032AB">
      <w:pPr>
        <w:pStyle w:val="ListParagraph"/>
        <w:numPr>
          <w:ilvl w:val="0"/>
          <w:numId w:val="20"/>
        </w:numPr>
        <w:rPr>
          <w:rFonts w:asciiTheme="minorHAnsi" w:hAnsiTheme="minorHAnsi" w:cstheme="minorHAnsi"/>
        </w:rPr>
      </w:pPr>
      <w:r>
        <w:rPr>
          <w:rFonts w:asciiTheme="minorHAnsi" w:hAnsiTheme="minorHAnsi" w:cstheme="minorHAnsi"/>
        </w:rPr>
        <w:t>Une enquête initiale</w:t>
      </w:r>
    </w:p>
    <w:p w:rsidR="00DA3AF2" w:rsidRDefault="00DA3AF2" w:rsidP="00DA3AF2">
      <w:pPr>
        <w:pStyle w:val="ListParagraph"/>
        <w:numPr>
          <w:ilvl w:val="0"/>
          <w:numId w:val="20"/>
        </w:numPr>
        <w:rPr>
          <w:rFonts w:asciiTheme="minorHAnsi" w:hAnsiTheme="minorHAnsi" w:cstheme="minorHAnsi"/>
        </w:rPr>
      </w:pPr>
      <w:r>
        <w:rPr>
          <w:rFonts w:asciiTheme="minorHAnsi" w:hAnsiTheme="minorHAnsi" w:cstheme="minorHAnsi"/>
        </w:rPr>
        <w:t>Une campagne d'information</w:t>
      </w:r>
    </w:p>
    <w:p w:rsidR="00DA3AF2" w:rsidRDefault="00DA3AF2" w:rsidP="00DA3AF2">
      <w:pPr>
        <w:pStyle w:val="ListParagraph"/>
        <w:numPr>
          <w:ilvl w:val="0"/>
          <w:numId w:val="20"/>
        </w:numPr>
        <w:rPr>
          <w:rFonts w:asciiTheme="minorHAnsi" w:hAnsiTheme="minorHAnsi" w:cstheme="minorHAnsi"/>
        </w:rPr>
      </w:pPr>
      <w:r>
        <w:rPr>
          <w:rFonts w:asciiTheme="minorHAnsi" w:hAnsiTheme="minorHAnsi" w:cstheme="minorHAnsi"/>
        </w:rPr>
        <w:t>Les exigences sur la qualité des produits</w:t>
      </w:r>
    </w:p>
    <w:p w:rsidR="00DA3AF2" w:rsidRDefault="00DA3AF2" w:rsidP="00DA3AF2">
      <w:pPr>
        <w:pStyle w:val="ListParagraph"/>
        <w:numPr>
          <w:ilvl w:val="0"/>
          <w:numId w:val="20"/>
        </w:numPr>
        <w:rPr>
          <w:rFonts w:asciiTheme="minorHAnsi" w:hAnsiTheme="minorHAnsi" w:cstheme="minorHAnsi"/>
        </w:rPr>
      </w:pPr>
      <w:r>
        <w:rPr>
          <w:rFonts w:asciiTheme="minorHAnsi" w:hAnsiTheme="minorHAnsi" w:cstheme="minorHAnsi"/>
        </w:rPr>
        <w:t>Le suivi</w:t>
      </w:r>
    </w:p>
    <w:p w:rsidR="00DA3AF2" w:rsidRDefault="00DA3AF2" w:rsidP="00DA3AF2">
      <w:pPr>
        <w:pStyle w:val="ListParagraph"/>
        <w:numPr>
          <w:ilvl w:val="0"/>
          <w:numId w:val="20"/>
        </w:numPr>
        <w:rPr>
          <w:rFonts w:asciiTheme="minorHAnsi" w:hAnsiTheme="minorHAnsi" w:cstheme="minorHAnsi"/>
        </w:rPr>
      </w:pPr>
      <w:r>
        <w:rPr>
          <w:rFonts w:asciiTheme="minorHAnsi" w:hAnsiTheme="minorHAnsi" w:cstheme="minorHAnsi"/>
        </w:rPr>
        <w:t>Le suivi des prix du marché</w:t>
      </w:r>
    </w:p>
    <w:p w:rsidR="00DA3AF2" w:rsidRDefault="00DA3AF2" w:rsidP="00DA3AF2">
      <w:pPr>
        <w:pStyle w:val="ListParagraph"/>
        <w:numPr>
          <w:ilvl w:val="0"/>
          <w:numId w:val="20"/>
        </w:numPr>
        <w:rPr>
          <w:rFonts w:asciiTheme="minorHAnsi" w:hAnsiTheme="minorHAnsi" w:cstheme="minorHAnsi"/>
        </w:rPr>
      </w:pPr>
      <w:r>
        <w:rPr>
          <w:rFonts w:asciiTheme="minorHAnsi" w:hAnsiTheme="minorHAnsi" w:cstheme="minorHAnsi"/>
        </w:rPr>
        <w:t>Les problèmes rencontrés concernant l'impôt sur les revenus et la TVA</w:t>
      </w:r>
    </w:p>
    <w:p w:rsidR="00DA3AF2" w:rsidRDefault="00DA3AF2" w:rsidP="00DA3AF2">
      <w:pPr>
        <w:pStyle w:val="ListParagraph"/>
        <w:numPr>
          <w:ilvl w:val="0"/>
          <w:numId w:val="20"/>
        </w:numPr>
        <w:rPr>
          <w:rFonts w:asciiTheme="minorHAnsi" w:hAnsiTheme="minorHAnsi" w:cstheme="minorHAnsi"/>
        </w:rPr>
      </w:pPr>
      <w:r>
        <w:rPr>
          <w:rFonts w:asciiTheme="minorHAnsi" w:hAnsiTheme="minorHAnsi" w:cstheme="minorHAnsi"/>
        </w:rPr>
        <w:t>Les dispositions concernant le partenariat</w:t>
      </w:r>
    </w:p>
    <w:p w:rsidR="00DA3AF2" w:rsidRDefault="00DA3AF2" w:rsidP="00DA3AF2">
      <w:pPr>
        <w:pStyle w:val="ListParagraph"/>
        <w:numPr>
          <w:ilvl w:val="0"/>
          <w:numId w:val="20"/>
        </w:numPr>
        <w:rPr>
          <w:rFonts w:asciiTheme="minorHAnsi" w:hAnsiTheme="minorHAnsi" w:cstheme="minorHAnsi"/>
        </w:rPr>
      </w:pPr>
      <w:r>
        <w:rPr>
          <w:rFonts w:asciiTheme="minorHAnsi" w:hAnsiTheme="minorHAnsi" w:cstheme="minorHAnsi"/>
        </w:rPr>
        <w:t>Les risques et les plans d'urgence</w:t>
      </w:r>
    </w:p>
    <w:p w:rsidR="00DA3AF2" w:rsidRPr="00DA3AF2" w:rsidRDefault="00DA3AF2" w:rsidP="00DA3AF2">
      <w:pPr>
        <w:pStyle w:val="ListParagraph"/>
        <w:numPr>
          <w:ilvl w:val="0"/>
          <w:numId w:val="20"/>
        </w:numPr>
        <w:rPr>
          <w:rFonts w:asciiTheme="minorHAnsi" w:hAnsiTheme="minorHAnsi" w:cstheme="minorHAnsi"/>
        </w:rPr>
      </w:pPr>
      <w:r>
        <w:rPr>
          <w:rFonts w:asciiTheme="minorHAnsi" w:hAnsiTheme="minorHAnsi" w:cstheme="minorHAnsi"/>
        </w:rPr>
        <w:lastRenderedPageBreak/>
        <w:t>Les problèmes concernant l'inflation par les prix et l'établissement des prix, ainsi que les stratégies d'atténuation</w:t>
      </w:r>
    </w:p>
    <w:p w:rsidR="00DA3AF2" w:rsidRDefault="00DA3AF2" w:rsidP="00DA3AF2">
      <w:pPr>
        <w:pStyle w:val="ListParagraph"/>
        <w:numPr>
          <w:ilvl w:val="0"/>
          <w:numId w:val="20"/>
        </w:numPr>
        <w:rPr>
          <w:rFonts w:asciiTheme="minorHAnsi" w:hAnsiTheme="minorHAnsi" w:cstheme="minorHAnsi"/>
        </w:rPr>
      </w:pPr>
      <w:r>
        <w:rPr>
          <w:rFonts w:asciiTheme="minorHAnsi" w:hAnsiTheme="minorHAnsi" w:cstheme="minorHAnsi"/>
        </w:rPr>
        <w:t>Mauvaises pratiques dans le traitement des transferts monétaires / des coupons</w:t>
      </w:r>
    </w:p>
    <w:p w:rsidR="00DA3AF2" w:rsidRDefault="00DA3AF2" w:rsidP="00DA3AF2">
      <w:pPr>
        <w:pStyle w:val="ListParagraph"/>
        <w:numPr>
          <w:ilvl w:val="0"/>
          <w:numId w:val="20"/>
        </w:numPr>
        <w:rPr>
          <w:rFonts w:asciiTheme="minorHAnsi" w:hAnsiTheme="minorHAnsi" w:cstheme="minorHAnsi"/>
        </w:rPr>
      </w:pPr>
      <w:r>
        <w:rPr>
          <w:rFonts w:asciiTheme="minorHAnsi" w:hAnsiTheme="minorHAnsi" w:cstheme="minorHAnsi"/>
        </w:rPr>
        <w:t>Le recrutement pour le projet</w:t>
      </w:r>
    </w:p>
    <w:p w:rsidR="00DA3AF2" w:rsidRPr="00DA3AF2" w:rsidRDefault="00DA3AF2" w:rsidP="00DA3AF2">
      <w:pPr>
        <w:pStyle w:val="ListParagraph"/>
        <w:numPr>
          <w:ilvl w:val="0"/>
          <w:numId w:val="20"/>
        </w:numPr>
        <w:rPr>
          <w:rFonts w:asciiTheme="minorHAnsi" w:hAnsiTheme="minorHAnsi" w:cstheme="minorHAnsi"/>
        </w:rPr>
      </w:pPr>
      <w:r>
        <w:rPr>
          <w:rFonts w:asciiTheme="minorHAnsi" w:hAnsiTheme="minorHAnsi" w:cstheme="minorHAnsi"/>
        </w:rPr>
        <w:t>Le traitement des plaintes</w:t>
      </w:r>
    </w:p>
    <w:sectPr w:rsidR="00DA3AF2" w:rsidRPr="00DA3AF2" w:rsidSect="003A22E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AB2" w:rsidRDefault="00BD6AB2" w:rsidP="00B577AC">
      <w:r>
        <w:separator/>
      </w:r>
    </w:p>
  </w:endnote>
  <w:endnote w:type="continuationSeparator" w:id="0">
    <w:p w:rsidR="00BD6AB2" w:rsidRDefault="00BD6AB2" w:rsidP="00B577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AB2" w:rsidRDefault="00BD6AB2" w:rsidP="00B577AC">
      <w:r>
        <w:separator/>
      </w:r>
    </w:p>
  </w:footnote>
  <w:footnote w:type="continuationSeparator" w:id="0">
    <w:p w:rsidR="00BD6AB2" w:rsidRDefault="00BD6AB2" w:rsidP="00B577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B21" w:rsidRDefault="006E4DA8">
    <w:pPr>
      <w:pStyle w:val="Header"/>
    </w:pPr>
    <w:r>
      <w:t>Boîte à outils pour le milieu urbain</w:t>
    </w:r>
    <w:r>
      <w:tab/>
    </w:r>
    <w:r w:rsidR="00D81829">
      <w:tab/>
    </w:r>
    <w:r w:rsidR="004C4E67">
      <w:t>Annexe : o</w:t>
    </w:r>
    <w:r>
      <w:t>util 10a</w:t>
    </w:r>
  </w:p>
  <w:p w:rsidR="006E4DA8" w:rsidRDefault="006E4DA8">
    <w:pPr>
      <w:pStyle w:val="Header"/>
    </w:pPr>
    <w:r>
      <w:tab/>
    </w:r>
    <w:r>
      <w:tab/>
      <w:t>Modèle de directives opérationnelles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3248A"/>
    <w:multiLevelType w:val="hybridMultilevel"/>
    <w:tmpl w:val="F440F2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604E7"/>
    <w:multiLevelType w:val="hybridMultilevel"/>
    <w:tmpl w:val="80E0A5D8"/>
    <w:lvl w:ilvl="0" w:tplc="96083F60">
      <w:start w:val="1"/>
      <w:numFmt w:val="bullet"/>
      <w:lvlText w:val="&gt;"/>
      <w:lvlJc w:val="left"/>
      <w:pPr>
        <w:tabs>
          <w:tab w:val="num" w:pos="1440"/>
        </w:tabs>
        <w:ind w:left="1440" w:hanging="360"/>
      </w:pPr>
      <w:rPr>
        <w:rFonts w:ascii="Trebuchet MS" w:hAnsi="Trebuchet MS" w:hint="default"/>
        <w:b/>
        <w:i w:val="0"/>
        <w:color w:val="00CC0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02264B2"/>
    <w:multiLevelType w:val="hybridMultilevel"/>
    <w:tmpl w:val="8BE2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2209C"/>
    <w:multiLevelType w:val="hybridMultilevel"/>
    <w:tmpl w:val="6158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60D70"/>
    <w:multiLevelType w:val="hybridMultilevel"/>
    <w:tmpl w:val="7618D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D4548E"/>
    <w:multiLevelType w:val="hybridMultilevel"/>
    <w:tmpl w:val="41EA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4E1F5E"/>
    <w:multiLevelType w:val="hybridMultilevel"/>
    <w:tmpl w:val="01F8D198"/>
    <w:lvl w:ilvl="0" w:tplc="96083F60">
      <w:start w:val="1"/>
      <w:numFmt w:val="bullet"/>
      <w:lvlText w:val="&gt;"/>
      <w:lvlJc w:val="left"/>
      <w:pPr>
        <w:tabs>
          <w:tab w:val="num" w:pos="1440"/>
        </w:tabs>
        <w:ind w:left="1440" w:hanging="360"/>
      </w:pPr>
      <w:rPr>
        <w:rFonts w:ascii="Trebuchet MS" w:hAnsi="Trebuchet MS" w:hint="default"/>
        <w:b/>
        <w:i w:val="0"/>
        <w:color w:val="00CC00"/>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66E5F3F"/>
    <w:multiLevelType w:val="hybridMultilevel"/>
    <w:tmpl w:val="92F41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6F63D28"/>
    <w:multiLevelType w:val="hybridMultilevel"/>
    <w:tmpl w:val="F50ECDBE"/>
    <w:lvl w:ilvl="0" w:tplc="E840A1F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A12CCD"/>
    <w:multiLevelType w:val="hybridMultilevel"/>
    <w:tmpl w:val="338E5E4A"/>
    <w:lvl w:ilvl="0" w:tplc="0DB2CED4">
      <w:numFmt w:val="bullet"/>
      <w:lvlText w:val="-"/>
      <w:lvlJc w:val="left"/>
      <w:pPr>
        <w:ind w:left="1080" w:hanging="360"/>
      </w:pPr>
      <w:rPr>
        <w:rFonts w:ascii="Trebuchet MS" w:eastAsia="Times New Roman"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FE77E8"/>
    <w:multiLevelType w:val="hybridMultilevel"/>
    <w:tmpl w:val="55749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7F4BD9"/>
    <w:multiLevelType w:val="hybridMultilevel"/>
    <w:tmpl w:val="17380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3E4CA7"/>
    <w:multiLevelType w:val="hybridMultilevel"/>
    <w:tmpl w:val="00DAE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A55BA7"/>
    <w:multiLevelType w:val="hybridMultilevel"/>
    <w:tmpl w:val="DF52D3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AA55C4"/>
    <w:multiLevelType w:val="hybridMultilevel"/>
    <w:tmpl w:val="05EC75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E03263"/>
    <w:multiLevelType w:val="hybridMultilevel"/>
    <w:tmpl w:val="F490B7DE"/>
    <w:lvl w:ilvl="0" w:tplc="0E94A2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791135"/>
    <w:multiLevelType w:val="hybridMultilevel"/>
    <w:tmpl w:val="A4B42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DC76E4"/>
    <w:multiLevelType w:val="hybridMultilevel"/>
    <w:tmpl w:val="9962DF9E"/>
    <w:lvl w:ilvl="0" w:tplc="96083F60">
      <w:start w:val="1"/>
      <w:numFmt w:val="bullet"/>
      <w:lvlText w:val="&gt;"/>
      <w:lvlJc w:val="left"/>
      <w:pPr>
        <w:tabs>
          <w:tab w:val="num" w:pos="720"/>
        </w:tabs>
        <w:ind w:left="720" w:hanging="360"/>
      </w:pPr>
      <w:rPr>
        <w:rFonts w:ascii="Trebuchet MS" w:hAnsi="Trebuchet MS" w:hint="default"/>
        <w:b/>
        <w:i w:val="0"/>
        <w:color w:val="00CC0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1"/>
  </w:num>
  <w:num w:numId="5">
    <w:abstractNumId w:val="17"/>
  </w:num>
  <w:num w:numId="6">
    <w:abstractNumId w:val="3"/>
  </w:num>
  <w:num w:numId="7">
    <w:abstractNumId w:val="10"/>
  </w:num>
  <w:num w:numId="8">
    <w:abstractNumId w:val="2"/>
  </w:num>
  <w:num w:numId="9">
    <w:abstractNumId w:val="7"/>
  </w:num>
  <w:num w:numId="10">
    <w:abstractNumId w:val="11"/>
  </w:num>
  <w:num w:numId="11">
    <w:abstractNumId w:val="8"/>
  </w:num>
  <w:num w:numId="12">
    <w:abstractNumId w:val="15"/>
  </w:num>
  <w:num w:numId="13">
    <w:abstractNumId w:val="4"/>
  </w:num>
  <w:num w:numId="14">
    <w:abstractNumId w:val="0"/>
  </w:num>
  <w:num w:numId="15">
    <w:abstractNumId w:val="13"/>
  </w:num>
  <w:num w:numId="16">
    <w:abstractNumId w:val="14"/>
  </w:num>
  <w:num w:numId="17">
    <w:abstractNumId w:val="5"/>
  </w:num>
  <w:num w:numId="18">
    <w:abstractNumId w:val="16"/>
  </w:num>
  <w:num w:numId="19">
    <w:abstractNumId w:val="9"/>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B577AC"/>
    <w:rsid w:val="00040596"/>
    <w:rsid w:val="000425B3"/>
    <w:rsid w:val="00043A76"/>
    <w:rsid w:val="0005131B"/>
    <w:rsid w:val="0007010E"/>
    <w:rsid w:val="000C09C0"/>
    <w:rsid w:val="000C619A"/>
    <w:rsid w:val="001224F2"/>
    <w:rsid w:val="00183D97"/>
    <w:rsid w:val="00184A16"/>
    <w:rsid w:val="001A0282"/>
    <w:rsid w:val="00263153"/>
    <w:rsid w:val="002E2139"/>
    <w:rsid w:val="003432DC"/>
    <w:rsid w:val="003A22E1"/>
    <w:rsid w:val="003A6A13"/>
    <w:rsid w:val="00423D16"/>
    <w:rsid w:val="00450F6D"/>
    <w:rsid w:val="004C4E67"/>
    <w:rsid w:val="004E6903"/>
    <w:rsid w:val="00506418"/>
    <w:rsid w:val="00545EA3"/>
    <w:rsid w:val="00587D94"/>
    <w:rsid w:val="005D47C2"/>
    <w:rsid w:val="006337A5"/>
    <w:rsid w:val="0066767C"/>
    <w:rsid w:val="006A45B0"/>
    <w:rsid w:val="006B2688"/>
    <w:rsid w:val="006C4ED2"/>
    <w:rsid w:val="006E0B5B"/>
    <w:rsid w:val="006E4DA8"/>
    <w:rsid w:val="0071138E"/>
    <w:rsid w:val="00736E91"/>
    <w:rsid w:val="00737560"/>
    <w:rsid w:val="0077209D"/>
    <w:rsid w:val="007C1441"/>
    <w:rsid w:val="007C5ABC"/>
    <w:rsid w:val="008534E7"/>
    <w:rsid w:val="00885316"/>
    <w:rsid w:val="00896B55"/>
    <w:rsid w:val="008E2213"/>
    <w:rsid w:val="008E59F4"/>
    <w:rsid w:val="009032AB"/>
    <w:rsid w:val="00906DFD"/>
    <w:rsid w:val="00943513"/>
    <w:rsid w:val="009754BF"/>
    <w:rsid w:val="009B34CD"/>
    <w:rsid w:val="009B420A"/>
    <w:rsid w:val="00A23861"/>
    <w:rsid w:val="00A24A70"/>
    <w:rsid w:val="00AA7F70"/>
    <w:rsid w:val="00AC5AAE"/>
    <w:rsid w:val="00B572AC"/>
    <w:rsid w:val="00B577AC"/>
    <w:rsid w:val="00B758A5"/>
    <w:rsid w:val="00B81B21"/>
    <w:rsid w:val="00BD6AB2"/>
    <w:rsid w:val="00C94D74"/>
    <w:rsid w:val="00CD072A"/>
    <w:rsid w:val="00CF47D3"/>
    <w:rsid w:val="00D400A6"/>
    <w:rsid w:val="00D81829"/>
    <w:rsid w:val="00DA3AF2"/>
    <w:rsid w:val="00DC152A"/>
    <w:rsid w:val="00DC5C53"/>
    <w:rsid w:val="00E14AE8"/>
    <w:rsid w:val="00E36B4A"/>
    <w:rsid w:val="00E76AD0"/>
    <w:rsid w:val="00E806A1"/>
    <w:rsid w:val="00ED776C"/>
    <w:rsid w:val="00EE66C8"/>
    <w:rsid w:val="00F06388"/>
    <w:rsid w:val="00F21CD9"/>
    <w:rsid w:val="00F25B08"/>
    <w:rsid w:val="00F8094A"/>
    <w:rsid w:val="00FC04A6"/>
    <w:rsid w:val="00FD5C31"/>
    <w:rsid w:val="00FF15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91"/>
    <w:pPr>
      <w:spacing w:after="0" w:line="240" w:lineRule="auto"/>
    </w:pPr>
    <w:rPr>
      <w:rFonts w:ascii="Trebuchet MS" w:eastAsia="Times New Roman" w:hAnsi="Trebuchet MS" w:cs="Times New Roman"/>
    </w:rPr>
  </w:style>
  <w:style w:type="paragraph" w:styleId="Heading1">
    <w:name w:val="heading 1"/>
    <w:basedOn w:val="Normal"/>
    <w:next w:val="Normal"/>
    <w:link w:val="Heading1Char"/>
    <w:uiPriority w:val="9"/>
    <w:qFormat/>
    <w:rsid w:val="00736E91"/>
    <w:pPr>
      <w:keepNext/>
      <w:keepLines/>
      <w:spacing w:before="480"/>
      <w:outlineLvl w:val="0"/>
    </w:pPr>
    <w:rPr>
      <w:rFonts w:asciiTheme="majorHAnsi" w:eastAsiaTheme="majorEastAsia" w:hAnsiTheme="majorHAnsi" w:cstheme="majorBidi"/>
      <w:b/>
      <w:bCs/>
      <w:color w:val="848057" w:themeColor="accent1" w:themeShade="BF"/>
      <w:sz w:val="28"/>
      <w:szCs w:val="28"/>
    </w:rPr>
  </w:style>
  <w:style w:type="paragraph" w:styleId="Heading2">
    <w:name w:val="heading 2"/>
    <w:basedOn w:val="Normal"/>
    <w:next w:val="Normal"/>
    <w:link w:val="Heading2Char"/>
    <w:uiPriority w:val="9"/>
    <w:unhideWhenUsed/>
    <w:qFormat/>
    <w:rsid w:val="006C4ED2"/>
    <w:pPr>
      <w:keepNext/>
      <w:keepLines/>
      <w:spacing w:before="200"/>
      <w:outlineLvl w:val="1"/>
    </w:pPr>
    <w:rPr>
      <w:rFonts w:asciiTheme="majorHAnsi" w:eastAsiaTheme="majorEastAsia" w:hAnsiTheme="majorHAnsi" w:cstheme="majorBidi"/>
      <w:b/>
      <w:bCs/>
      <w:color w:val="A9A57C" w:themeColor="accent1"/>
      <w:sz w:val="26"/>
      <w:szCs w:val="26"/>
    </w:rPr>
  </w:style>
  <w:style w:type="paragraph" w:styleId="Heading3">
    <w:name w:val="heading 3"/>
    <w:basedOn w:val="Normal"/>
    <w:next w:val="Normal"/>
    <w:link w:val="Heading3Char"/>
    <w:uiPriority w:val="9"/>
    <w:unhideWhenUsed/>
    <w:qFormat/>
    <w:rsid w:val="00E36B4A"/>
    <w:pPr>
      <w:keepNext/>
      <w:keepLines/>
      <w:spacing w:before="200"/>
      <w:outlineLvl w:val="2"/>
    </w:pPr>
    <w:rPr>
      <w:rFonts w:asciiTheme="majorHAnsi" w:eastAsiaTheme="majorEastAsia" w:hAnsiTheme="majorHAnsi" w:cstheme="majorBidi"/>
      <w:b/>
      <w:bCs/>
      <w:color w:val="A9A57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7AC"/>
    <w:pPr>
      <w:tabs>
        <w:tab w:val="center" w:pos="4680"/>
        <w:tab w:val="right" w:pos="9360"/>
      </w:tabs>
    </w:pPr>
  </w:style>
  <w:style w:type="character" w:customStyle="1" w:styleId="HeaderChar">
    <w:name w:val="Header Char"/>
    <w:basedOn w:val="DefaultParagraphFont"/>
    <w:link w:val="Header"/>
    <w:uiPriority w:val="99"/>
    <w:rsid w:val="00B577AC"/>
  </w:style>
  <w:style w:type="paragraph" w:styleId="Footer">
    <w:name w:val="footer"/>
    <w:basedOn w:val="Normal"/>
    <w:link w:val="FooterChar"/>
    <w:uiPriority w:val="99"/>
    <w:unhideWhenUsed/>
    <w:rsid w:val="00B577AC"/>
    <w:pPr>
      <w:tabs>
        <w:tab w:val="center" w:pos="4680"/>
        <w:tab w:val="right" w:pos="9360"/>
      </w:tabs>
    </w:pPr>
  </w:style>
  <w:style w:type="character" w:customStyle="1" w:styleId="FooterChar">
    <w:name w:val="Footer Char"/>
    <w:basedOn w:val="DefaultParagraphFont"/>
    <w:link w:val="Footer"/>
    <w:uiPriority w:val="99"/>
    <w:rsid w:val="00B577AC"/>
  </w:style>
  <w:style w:type="paragraph" w:styleId="BalloonText">
    <w:name w:val="Balloon Text"/>
    <w:basedOn w:val="Normal"/>
    <w:link w:val="BalloonTextChar"/>
    <w:uiPriority w:val="99"/>
    <w:semiHidden/>
    <w:unhideWhenUsed/>
    <w:rsid w:val="00B577AC"/>
    <w:rPr>
      <w:rFonts w:ascii="Tahoma" w:hAnsi="Tahoma" w:cs="Tahoma"/>
      <w:sz w:val="16"/>
      <w:szCs w:val="16"/>
    </w:rPr>
  </w:style>
  <w:style w:type="character" w:customStyle="1" w:styleId="BalloonTextChar">
    <w:name w:val="Balloon Text Char"/>
    <w:basedOn w:val="DefaultParagraphFont"/>
    <w:link w:val="BalloonText"/>
    <w:uiPriority w:val="99"/>
    <w:semiHidden/>
    <w:rsid w:val="00B577AC"/>
    <w:rPr>
      <w:rFonts w:ascii="Tahoma" w:hAnsi="Tahoma" w:cs="Tahoma"/>
      <w:sz w:val="16"/>
      <w:szCs w:val="16"/>
    </w:rPr>
  </w:style>
  <w:style w:type="character" w:customStyle="1" w:styleId="Heading1Char">
    <w:name w:val="Heading 1 Char"/>
    <w:basedOn w:val="DefaultParagraphFont"/>
    <w:link w:val="Heading1"/>
    <w:uiPriority w:val="9"/>
    <w:rsid w:val="00736E91"/>
    <w:rPr>
      <w:rFonts w:asciiTheme="majorHAnsi" w:eastAsiaTheme="majorEastAsia" w:hAnsiTheme="majorHAnsi" w:cstheme="majorBidi"/>
      <w:b/>
      <w:bCs/>
      <w:color w:val="848057" w:themeColor="accent1" w:themeShade="BF"/>
      <w:sz w:val="28"/>
      <w:szCs w:val="28"/>
      <w:lang w:val="fr-FR"/>
    </w:rPr>
  </w:style>
  <w:style w:type="paragraph" w:styleId="Subtitle">
    <w:name w:val="Subtitle"/>
    <w:basedOn w:val="Normal"/>
    <w:next w:val="Normal"/>
    <w:link w:val="SubtitleChar"/>
    <w:uiPriority w:val="11"/>
    <w:qFormat/>
    <w:rsid w:val="00736E91"/>
    <w:pPr>
      <w:numPr>
        <w:ilvl w:val="1"/>
      </w:numPr>
    </w:pPr>
    <w:rPr>
      <w:rFonts w:asciiTheme="majorHAnsi" w:eastAsiaTheme="majorEastAsia" w:hAnsiTheme="majorHAnsi" w:cstheme="majorBidi"/>
      <w:i/>
      <w:iCs/>
      <w:color w:val="A9A57C" w:themeColor="accent1"/>
      <w:spacing w:val="15"/>
      <w:sz w:val="24"/>
      <w:szCs w:val="24"/>
    </w:rPr>
  </w:style>
  <w:style w:type="character" w:customStyle="1" w:styleId="SubtitleChar">
    <w:name w:val="Subtitle Char"/>
    <w:basedOn w:val="DefaultParagraphFont"/>
    <w:link w:val="Subtitle"/>
    <w:uiPriority w:val="11"/>
    <w:rsid w:val="00736E91"/>
    <w:rPr>
      <w:rFonts w:asciiTheme="majorHAnsi" w:eastAsiaTheme="majorEastAsia" w:hAnsiTheme="majorHAnsi" w:cstheme="majorBidi"/>
      <w:i/>
      <w:iCs/>
      <w:color w:val="A9A57C" w:themeColor="accent1"/>
      <w:spacing w:val="15"/>
      <w:sz w:val="24"/>
      <w:szCs w:val="24"/>
      <w:lang w:val="fr-FR"/>
    </w:rPr>
  </w:style>
  <w:style w:type="character" w:styleId="IntenseEmphasis">
    <w:name w:val="Intense Emphasis"/>
    <w:basedOn w:val="DefaultParagraphFont"/>
    <w:uiPriority w:val="21"/>
    <w:qFormat/>
    <w:rsid w:val="00736E91"/>
    <w:rPr>
      <w:b/>
      <w:bCs/>
      <w:i/>
      <w:iCs/>
      <w:color w:val="A9A57C" w:themeColor="accent1"/>
    </w:rPr>
  </w:style>
  <w:style w:type="character" w:styleId="Emphasis">
    <w:name w:val="Emphasis"/>
    <w:basedOn w:val="DefaultParagraphFont"/>
    <w:uiPriority w:val="20"/>
    <w:qFormat/>
    <w:rsid w:val="00736E91"/>
    <w:rPr>
      <w:i/>
      <w:iCs/>
    </w:rPr>
  </w:style>
  <w:style w:type="character" w:styleId="SubtleEmphasis">
    <w:name w:val="Subtle Emphasis"/>
    <w:basedOn w:val="DefaultParagraphFont"/>
    <w:uiPriority w:val="19"/>
    <w:qFormat/>
    <w:rsid w:val="00736E91"/>
    <w:rPr>
      <w:i/>
      <w:iCs/>
      <w:color w:val="A89D7F" w:themeColor="text1" w:themeTint="7F"/>
    </w:rPr>
  </w:style>
  <w:style w:type="character" w:customStyle="1" w:styleId="Heading2Char">
    <w:name w:val="Heading 2 Char"/>
    <w:basedOn w:val="DefaultParagraphFont"/>
    <w:link w:val="Heading2"/>
    <w:uiPriority w:val="9"/>
    <w:rsid w:val="006C4ED2"/>
    <w:rPr>
      <w:rFonts w:asciiTheme="majorHAnsi" w:eastAsiaTheme="majorEastAsia" w:hAnsiTheme="majorHAnsi" w:cstheme="majorBidi"/>
      <w:b/>
      <w:bCs/>
      <w:color w:val="A9A57C" w:themeColor="accent1"/>
      <w:sz w:val="26"/>
      <w:szCs w:val="26"/>
      <w:lang w:val="fr-FR"/>
    </w:rPr>
  </w:style>
  <w:style w:type="paragraph" w:styleId="ListParagraph">
    <w:name w:val="List Paragraph"/>
    <w:basedOn w:val="Normal"/>
    <w:uiPriority w:val="34"/>
    <w:qFormat/>
    <w:rsid w:val="00F25B08"/>
    <w:pPr>
      <w:ind w:left="720"/>
      <w:contextualSpacing/>
    </w:pPr>
  </w:style>
  <w:style w:type="character" w:styleId="Strong">
    <w:name w:val="Strong"/>
    <w:basedOn w:val="DefaultParagraphFont"/>
    <w:uiPriority w:val="22"/>
    <w:qFormat/>
    <w:rsid w:val="00F25B08"/>
    <w:rPr>
      <w:b/>
      <w:bCs/>
    </w:rPr>
  </w:style>
  <w:style w:type="table" w:styleId="TableGrid">
    <w:name w:val="Table Grid"/>
    <w:basedOn w:val="TableNormal"/>
    <w:uiPriority w:val="59"/>
    <w:rsid w:val="000C6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0C619A"/>
    <w:pPr>
      <w:spacing w:after="0" w:line="240" w:lineRule="auto"/>
    </w:pPr>
    <w:rPr>
      <w:color w:val="B6AD38" w:themeColor="accent3" w:themeShade="BF"/>
    </w:rPr>
    <w:tblPr>
      <w:tblStyleRowBandSize w:val="1"/>
      <w:tblStyleColBandSize w:val="1"/>
      <w:tblInd w:w="0" w:type="dxa"/>
      <w:tblBorders>
        <w:top w:val="single" w:sz="8" w:space="0" w:color="D2CB6C" w:themeColor="accent3"/>
        <w:bottom w:val="single" w:sz="8" w:space="0" w:color="D2CB6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2CB6C" w:themeColor="accent3"/>
          <w:left w:val="nil"/>
          <w:bottom w:val="single" w:sz="8" w:space="0" w:color="D2CB6C" w:themeColor="accent3"/>
          <w:right w:val="nil"/>
          <w:insideH w:val="nil"/>
          <w:insideV w:val="nil"/>
        </w:tcBorders>
      </w:tcPr>
    </w:tblStylePr>
    <w:tblStylePr w:type="lastRow">
      <w:pPr>
        <w:spacing w:before="0" w:after="0" w:line="240" w:lineRule="auto"/>
      </w:pPr>
      <w:rPr>
        <w:b/>
        <w:bCs/>
      </w:rPr>
      <w:tblPr/>
      <w:tcPr>
        <w:tcBorders>
          <w:top w:val="single" w:sz="8" w:space="0" w:color="D2CB6C" w:themeColor="accent3"/>
          <w:left w:val="nil"/>
          <w:bottom w:val="single" w:sz="8" w:space="0" w:color="D2CB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2DA" w:themeFill="accent3" w:themeFillTint="3F"/>
      </w:tcPr>
    </w:tblStylePr>
    <w:tblStylePr w:type="band1Horz">
      <w:tblPr/>
      <w:tcPr>
        <w:tcBorders>
          <w:left w:val="nil"/>
          <w:right w:val="nil"/>
          <w:insideH w:val="nil"/>
          <w:insideV w:val="nil"/>
        </w:tcBorders>
        <w:shd w:val="clear" w:color="auto" w:fill="F3F2DA" w:themeFill="accent3" w:themeFillTint="3F"/>
      </w:tcPr>
    </w:tblStylePr>
  </w:style>
  <w:style w:type="character" w:customStyle="1" w:styleId="Heading3Char">
    <w:name w:val="Heading 3 Char"/>
    <w:basedOn w:val="DefaultParagraphFont"/>
    <w:link w:val="Heading3"/>
    <w:uiPriority w:val="9"/>
    <w:rsid w:val="00E36B4A"/>
    <w:rPr>
      <w:rFonts w:asciiTheme="majorHAnsi" w:eastAsiaTheme="majorEastAsia" w:hAnsiTheme="majorHAnsi" w:cstheme="majorBidi"/>
      <w:b/>
      <w:bCs/>
      <w:color w:val="A9A57C" w:themeColor="accent1"/>
      <w:lang w:val="fr-FR"/>
    </w:rPr>
  </w:style>
  <w:style w:type="character" w:styleId="CommentReference">
    <w:name w:val="annotation reference"/>
    <w:basedOn w:val="DefaultParagraphFont"/>
    <w:uiPriority w:val="99"/>
    <w:semiHidden/>
    <w:unhideWhenUsed/>
    <w:rsid w:val="003432DC"/>
    <w:rPr>
      <w:sz w:val="18"/>
      <w:szCs w:val="18"/>
    </w:rPr>
  </w:style>
  <w:style w:type="paragraph" w:styleId="CommentText">
    <w:name w:val="annotation text"/>
    <w:basedOn w:val="Normal"/>
    <w:link w:val="CommentTextChar"/>
    <w:uiPriority w:val="99"/>
    <w:semiHidden/>
    <w:unhideWhenUsed/>
    <w:rsid w:val="003432DC"/>
    <w:rPr>
      <w:sz w:val="24"/>
      <w:szCs w:val="24"/>
    </w:rPr>
  </w:style>
  <w:style w:type="character" w:customStyle="1" w:styleId="CommentTextChar">
    <w:name w:val="Comment Text Char"/>
    <w:basedOn w:val="DefaultParagraphFont"/>
    <w:link w:val="CommentText"/>
    <w:uiPriority w:val="99"/>
    <w:semiHidden/>
    <w:rsid w:val="003432DC"/>
    <w:rPr>
      <w:rFonts w:ascii="Trebuchet MS" w:eastAsia="Times New Roman" w:hAnsi="Trebuchet MS" w:cs="Times New Roman"/>
      <w:sz w:val="24"/>
      <w:szCs w:val="24"/>
      <w:lang w:val="fr-FR"/>
    </w:rPr>
  </w:style>
  <w:style w:type="paragraph" w:styleId="CommentSubject">
    <w:name w:val="annotation subject"/>
    <w:basedOn w:val="CommentText"/>
    <w:next w:val="CommentText"/>
    <w:link w:val="CommentSubjectChar"/>
    <w:uiPriority w:val="99"/>
    <w:semiHidden/>
    <w:unhideWhenUsed/>
    <w:rsid w:val="003432DC"/>
    <w:rPr>
      <w:b/>
      <w:bCs/>
      <w:sz w:val="20"/>
      <w:szCs w:val="20"/>
    </w:rPr>
  </w:style>
  <w:style w:type="character" w:customStyle="1" w:styleId="CommentSubjectChar">
    <w:name w:val="Comment Subject Char"/>
    <w:basedOn w:val="CommentTextChar"/>
    <w:link w:val="CommentSubject"/>
    <w:uiPriority w:val="99"/>
    <w:semiHidden/>
    <w:rsid w:val="003432DC"/>
    <w:rPr>
      <w:rFonts w:ascii="Trebuchet MS" w:eastAsia="Times New Roman" w:hAnsi="Trebuchet MS" w:cs="Times New Roman"/>
      <w:b/>
      <w:bCs/>
      <w:sz w:val="20"/>
      <w:szCs w:val="20"/>
      <w:lang w:val="fr-FR"/>
    </w:rPr>
  </w:style>
  <w:style w:type="paragraph" w:styleId="Quote">
    <w:name w:val="Quote"/>
    <w:basedOn w:val="Normal"/>
    <w:next w:val="Normal"/>
    <w:link w:val="QuoteChar"/>
    <w:uiPriority w:val="29"/>
    <w:qFormat/>
    <w:rsid w:val="00263153"/>
    <w:rPr>
      <w:i/>
      <w:iCs/>
      <w:color w:val="2F2B20" w:themeColor="text1"/>
    </w:rPr>
  </w:style>
  <w:style w:type="character" w:customStyle="1" w:styleId="QuoteChar">
    <w:name w:val="Quote Char"/>
    <w:basedOn w:val="DefaultParagraphFont"/>
    <w:link w:val="Quote"/>
    <w:uiPriority w:val="29"/>
    <w:rsid w:val="00263153"/>
    <w:rPr>
      <w:rFonts w:ascii="Trebuchet MS" w:eastAsia="Times New Roman" w:hAnsi="Trebuchet MS" w:cs="Times New Roman"/>
      <w:i/>
      <w:iCs/>
      <w:color w:val="2F2B20" w:themeColor="text1"/>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91"/>
    <w:pPr>
      <w:spacing w:after="0" w:line="240" w:lineRule="auto"/>
    </w:pPr>
    <w:rPr>
      <w:rFonts w:ascii="Trebuchet MS" w:eastAsia="Times New Roman" w:hAnsi="Trebuchet MS" w:cs="Times New Roman"/>
      <w:lang w:val="en-GB"/>
    </w:rPr>
  </w:style>
  <w:style w:type="paragraph" w:styleId="Heading1">
    <w:name w:val="heading 1"/>
    <w:basedOn w:val="Normal"/>
    <w:next w:val="Normal"/>
    <w:link w:val="Heading1Char"/>
    <w:uiPriority w:val="9"/>
    <w:qFormat/>
    <w:rsid w:val="00736E91"/>
    <w:pPr>
      <w:keepNext/>
      <w:keepLines/>
      <w:spacing w:before="480"/>
      <w:outlineLvl w:val="0"/>
    </w:pPr>
    <w:rPr>
      <w:rFonts w:asciiTheme="majorHAnsi" w:eastAsiaTheme="majorEastAsia" w:hAnsiTheme="majorHAnsi" w:cstheme="majorBidi"/>
      <w:b/>
      <w:bCs/>
      <w:color w:val="848057" w:themeColor="accent1" w:themeShade="BF"/>
      <w:sz w:val="28"/>
      <w:szCs w:val="28"/>
    </w:rPr>
  </w:style>
  <w:style w:type="paragraph" w:styleId="Heading2">
    <w:name w:val="heading 2"/>
    <w:basedOn w:val="Normal"/>
    <w:next w:val="Normal"/>
    <w:link w:val="Heading2Char"/>
    <w:uiPriority w:val="9"/>
    <w:unhideWhenUsed/>
    <w:qFormat/>
    <w:rsid w:val="006C4ED2"/>
    <w:pPr>
      <w:keepNext/>
      <w:keepLines/>
      <w:spacing w:before="200"/>
      <w:outlineLvl w:val="1"/>
    </w:pPr>
    <w:rPr>
      <w:rFonts w:asciiTheme="majorHAnsi" w:eastAsiaTheme="majorEastAsia" w:hAnsiTheme="majorHAnsi" w:cstheme="majorBidi"/>
      <w:b/>
      <w:bCs/>
      <w:color w:val="A9A57C" w:themeColor="accent1"/>
      <w:sz w:val="26"/>
      <w:szCs w:val="26"/>
    </w:rPr>
  </w:style>
  <w:style w:type="paragraph" w:styleId="Heading3">
    <w:name w:val="heading 3"/>
    <w:basedOn w:val="Normal"/>
    <w:next w:val="Normal"/>
    <w:link w:val="Heading3Char"/>
    <w:uiPriority w:val="9"/>
    <w:unhideWhenUsed/>
    <w:qFormat/>
    <w:rsid w:val="00E36B4A"/>
    <w:pPr>
      <w:keepNext/>
      <w:keepLines/>
      <w:spacing w:before="200"/>
      <w:outlineLvl w:val="2"/>
    </w:pPr>
    <w:rPr>
      <w:rFonts w:asciiTheme="majorHAnsi" w:eastAsiaTheme="majorEastAsia" w:hAnsiTheme="majorHAnsi" w:cstheme="majorBidi"/>
      <w:b/>
      <w:bCs/>
      <w:color w:val="A9A57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7AC"/>
    <w:pPr>
      <w:tabs>
        <w:tab w:val="center" w:pos="4680"/>
        <w:tab w:val="right" w:pos="9360"/>
      </w:tabs>
    </w:pPr>
  </w:style>
  <w:style w:type="character" w:customStyle="1" w:styleId="HeaderChar">
    <w:name w:val="Header Char"/>
    <w:basedOn w:val="DefaultParagraphFont"/>
    <w:link w:val="Header"/>
    <w:uiPriority w:val="99"/>
    <w:rsid w:val="00B577AC"/>
  </w:style>
  <w:style w:type="paragraph" w:styleId="Footer">
    <w:name w:val="footer"/>
    <w:basedOn w:val="Normal"/>
    <w:link w:val="FooterChar"/>
    <w:uiPriority w:val="99"/>
    <w:unhideWhenUsed/>
    <w:rsid w:val="00B577AC"/>
    <w:pPr>
      <w:tabs>
        <w:tab w:val="center" w:pos="4680"/>
        <w:tab w:val="right" w:pos="9360"/>
      </w:tabs>
    </w:pPr>
  </w:style>
  <w:style w:type="character" w:customStyle="1" w:styleId="FooterChar">
    <w:name w:val="Footer Char"/>
    <w:basedOn w:val="DefaultParagraphFont"/>
    <w:link w:val="Footer"/>
    <w:uiPriority w:val="99"/>
    <w:rsid w:val="00B577AC"/>
  </w:style>
  <w:style w:type="paragraph" w:styleId="BalloonText">
    <w:name w:val="Balloon Text"/>
    <w:basedOn w:val="Normal"/>
    <w:link w:val="BalloonTextChar"/>
    <w:uiPriority w:val="99"/>
    <w:semiHidden/>
    <w:unhideWhenUsed/>
    <w:rsid w:val="00B577AC"/>
    <w:rPr>
      <w:rFonts w:ascii="Tahoma" w:hAnsi="Tahoma" w:cs="Tahoma"/>
      <w:sz w:val="16"/>
      <w:szCs w:val="16"/>
    </w:rPr>
  </w:style>
  <w:style w:type="character" w:customStyle="1" w:styleId="BalloonTextChar">
    <w:name w:val="Balloon Text Char"/>
    <w:basedOn w:val="DefaultParagraphFont"/>
    <w:link w:val="BalloonText"/>
    <w:uiPriority w:val="99"/>
    <w:semiHidden/>
    <w:rsid w:val="00B577AC"/>
    <w:rPr>
      <w:rFonts w:ascii="Tahoma" w:hAnsi="Tahoma" w:cs="Tahoma"/>
      <w:sz w:val="16"/>
      <w:szCs w:val="16"/>
    </w:rPr>
  </w:style>
  <w:style w:type="character" w:customStyle="1" w:styleId="Heading1Char">
    <w:name w:val="Heading 1 Char"/>
    <w:basedOn w:val="DefaultParagraphFont"/>
    <w:link w:val="Heading1"/>
    <w:uiPriority w:val="9"/>
    <w:rsid w:val="00736E91"/>
    <w:rPr>
      <w:rFonts w:asciiTheme="majorHAnsi" w:eastAsiaTheme="majorEastAsia" w:hAnsiTheme="majorHAnsi" w:cstheme="majorBidi"/>
      <w:b/>
      <w:bCs/>
      <w:color w:val="848057" w:themeColor="accent1" w:themeShade="BF"/>
      <w:sz w:val="28"/>
      <w:szCs w:val="28"/>
      <w:lang w:val="en-GB"/>
    </w:rPr>
  </w:style>
  <w:style w:type="paragraph" w:styleId="Subtitle">
    <w:name w:val="Subtitle"/>
    <w:basedOn w:val="Normal"/>
    <w:next w:val="Normal"/>
    <w:link w:val="SubtitleChar"/>
    <w:uiPriority w:val="11"/>
    <w:qFormat/>
    <w:rsid w:val="00736E91"/>
    <w:pPr>
      <w:numPr>
        <w:ilvl w:val="1"/>
      </w:numPr>
    </w:pPr>
    <w:rPr>
      <w:rFonts w:asciiTheme="majorHAnsi" w:eastAsiaTheme="majorEastAsia" w:hAnsiTheme="majorHAnsi" w:cstheme="majorBidi"/>
      <w:i/>
      <w:iCs/>
      <w:color w:val="A9A57C" w:themeColor="accent1"/>
      <w:spacing w:val="15"/>
      <w:sz w:val="24"/>
      <w:szCs w:val="24"/>
    </w:rPr>
  </w:style>
  <w:style w:type="character" w:customStyle="1" w:styleId="SubtitleChar">
    <w:name w:val="Subtitle Char"/>
    <w:basedOn w:val="DefaultParagraphFont"/>
    <w:link w:val="Subtitle"/>
    <w:uiPriority w:val="11"/>
    <w:rsid w:val="00736E91"/>
    <w:rPr>
      <w:rFonts w:asciiTheme="majorHAnsi" w:eastAsiaTheme="majorEastAsia" w:hAnsiTheme="majorHAnsi" w:cstheme="majorBidi"/>
      <w:i/>
      <w:iCs/>
      <w:color w:val="A9A57C" w:themeColor="accent1"/>
      <w:spacing w:val="15"/>
      <w:sz w:val="24"/>
      <w:szCs w:val="24"/>
      <w:lang w:val="en-GB"/>
    </w:rPr>
  </w:style>
  <w:style w:type="character" w:styleId="IntenseEmphasis">
    <w:name w:val="Intense Emphasis"/>
    <w:basedOn w:val="DefaultParagraphFont"/>
    <w:uiPriority w:val="21"/>
    <w:qFormat/>
    <w:rsid w:val="00736E91"/>
    <w:rPr>
      <w:b/>
      <w:bCs/>
      <w:i/>
      <w:iCs/>
      <w:color w:val="A9A57C" w:themeColor="accent1"/>
    </w:rPr>
  </w:style>
  <w:style w:type="character" w:styleId="Emphasis">
    <w:name w:val="Emphasis"/>
    <w:basedOn w:val="DefaultParagraphFont"/>
    <w:uiPriority w:val="20"/>
    <w:qFormat/>
    <w:rsid w:val="00736E91"/>
    <w:rPr>
      <w:i/>
      <w:iCs/>
    </w:rPr>
  </w:style>
  <w:style w:type="character" w:styleId="SubtleEmphasis">
    <w:name w:val="Subtle Emphasis"/>
    <w:basedOn w:val="DefaultParagraphFont"/>
    <w:uiPriority w:val="19"/>
    <w:qFormat/>
    <w:rsid w:val="00736E91"/>
    <w:rPr>
      <w:i/>
      <w:iCs/>
      <w:color w:val="A89D7F" w:themeColor="text1" w:themeTint="7F"/>
    </w:rPr>
  </w:style>
  <w:style w:type="character" w:customStyle="1" w:styleId="Heading2Char">
    <w:name w:val="Heading 2 Char"/>
    <w:basedOn w:val="DefaultParagraphFont"/>
    <w:link w:val="Heading2"/>
    <w:uiPriority w:val="9"/>
    <w:rsid w:val="006C4ED2"/>
    <w:rPr>
      <w:rFonts w:asciiTheme="majorHAnsi" w:eastAsiaTheme="majorEastAsia" w:hAnsiTheme="majorHAnsi" w:cstheme="majorBidi"/>
      <w:b/>
      <w:bCs/>
      <w:color w:val="A9A57C" w:themeColor="accent1"/>
      <w:sz w:val="26"/>
      <w:szCs w:val="26"/>
      <w:lang w:val="en-GB"/>
    </w:rPr>
  </w:style>
  <w:style w:type="paragraph" w:styleId="ListParagraph">
    <w:name w:val="List Paragraph"/>
    <w:basedOn w:val="Normal"/>
    <w:uiPriority w:val="34"/>
    <w:qFormat/>
    <w:rsid w:val="00F25B08"/>
    <w:pPr>
      <w:ind w:left="720"/>
      <w:contextualSpacing/>
    </w:pPr>
  </w:style>
  <w:style w:type="character" w:styleId="Strong">
    <w:name w:val="Strong"/>
    <w:basedOn w:val="DefaultParagraphFont"/>
    <w:uiPriority w:val="22"/>
    <w:qFormat/>
    <w:rsid w:val="00F25B08"/>
    <w:rPr>
      <w:b/>
      <w:bCs/>
    </w:rPr>
  </w:style>
  <w:style w:type="table" w:styleId="TableGrid">
    <w:name w:val="Table Grid"/>
    <w:basedOn w:val="TableNormal"/>
    <w:uiPriority w:val="59"/>
    <w:rsid w:val="000C6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0C619A"/>
    <w:pPr>
      <w:spacing w:after="0" w:line="240" w:lineRule="auto"/>
    </w:pPr>
    <w:rPr>
      <w:color w:val="B6AD38" w:themeColor="accent3" w:themeShade="BF"/>
    </w:rPr>
    <w:tblPr>
      <w:tblStyleRowBandSize w:val="1"/>
      <w:tblStyleColBandSize w:val="1"/>
      <w:tblInd w:w="0" w:type="dxa"/>
      <w:tblBorders>
        <w:top w:val="single" w:sz="8" w:space="0" w:color="D2CB6C" w:themeColor="accent3"/>
        <w:bottom w:val="single" w:sz="8" w:space="0" w:color="D2CB6C"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2CB6C" w:themeColor="accent3"/>
          <w:left w:val="nil"/>
          <w:bottom w:val="single" w:sz="8" w:space="0" w:color="D2CB6C" w:themeColor="accent3"/>
          <w:right w:val="nil"/>
          <w:insideH w:val="nil"/>
          <w:insideV w:val="nil"/>
        </w:tcBorders>
      </w:tcPr>
    </w:tblStylePr>
    <w:tblStylePr w:type="lastRow">
      <w:pPr>
        <w:spacing w:before="0" w:after="0" w:line="240" w:lineRule="auto"/>
      </w:pPr>
      <w:rPr>
        <w:b/>
        <w:bCs/>
      </w:rPr>
      <w:tblPr/>
      <w:tcPr>
        <w:tcBorders>
          <w:top w:val="single" w:sz="8" w:space="0" w:color="D2CB6C" w:themeColor="accent3"/>
          <w:left w:val="nil"/>
          <w:bottom w:val="single" w:sz="8" w:space="0" w:color="D2CB6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2DA" w:themeFill="accent3" w:themeFillTint="3F"/>
      </w:tcPr>
    </w:tblStylePr>
    <w:tblStylePr w:type="band1Horz">
      <w:tblPr/>
      <w:tcPr>
        <w:tcBorders>
          <w:left w:val="nil"/>
          <w:right w:val="nil"/>
          <w:insideH w:val="nil"/>
          <w:insideV w:val="nil"/>
        </w:tcBorders>
        <w:shd w:val="clear" w:color="auto" w:fill="F3F2DA" w:themeFill="accent3" w:themeFillTint="3F"/>
      </w:tcPr>
    </w:tblStylePr>
  </w:style>
  <w:style w:type="character" w:customStyle="1" w:styleId="Heading3Char">
    <w:name w:val="Heading 3 Char"/>
    <w:basedOn w:val="DefaultParagraphFont"/>
    <w:link w:val="Heading3"/>
    <w:uiPriority w:val="9"/>
    <w:rsid w:val="00E36B4A"/>
    <w:rPr>
      <w:rFonts w:asciiTheme="majorHAnsi" w:eastAsiaTheme="majorEastAsia" w:hAnsiTheme="majorHAnsi" w:cstheme="majorBidi"/>
      <w:b/>
      <w:bCs/>
      <w:color w:val="A9A57C" w:themeColor="accent1"/>
      <w:lang w:val="en-GB"/>
    </w:rPr>
  </w:style>
  <w:style w:type="character" w:styleId="CommentReference">
    <w:name w:val="annotation reference"/>
    <w:basedOn w:val="DefaultParagraphFont"/>
    <w:uiPriority w:val="99"/>
    <w:semiHidden/>
    <w:unhideWhenUsed/>
    <w:rsid w:val="003432DC"/>
    <w:rPr>
      <w:sz w:val="18"/>
      <w:szCs w:val="18"/>
    </w:rPr>
  </w:style>
  <w:style w:type="paragraph" w:styleId="CommentText">
    <w:name w:val="annotation text"/>
    <w:basedOn w:val="Normal"/>
    <w:link w:val="CommentTextChar"/>
    <w:uiPriority w:val="99"/>
    <w:semiHidden/>
    <w:unhideWhenUsed/>
    <w:rsid w:val="003432DC"/>
    <w:rPr>
      <w:sz w:val="24"/>
      <w:szCs w:val="24"/>
    </w:rPr>
  </w:style>
  <w:style w:type="character" w:customStyle="1" w:styleId="CommentTextChar">
    <w:name w:val="Comment Text Char"/>
    <w:basedOn w:val="DefaultParagraphFont"/>
    <w:link w:val="CommentText"/>
    <w:uiPriority w:val="99"/>
    <w:semiHidden/>
    <w:rsid w:val="003432DC"/>
    <w:rPr>
      <w:rFonts w:ascii="Trebuchet MS" w:eastAsia="Times New Roman" w:hAnsi="Trebuchet MS"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3432DC"/>
    <w:rPr>
      <w:b/>
      <w:bCs/>
      <w:sz w:val="20"/>
      <w:szCs w:val="20"/>
    </w:rPr>
  </w:style>
  <w:style w:type="character" w:customStyle="1" w:styleId="CommentSubjectChar">
    <w:name w:val="Comment Subject Char"/>
    <w:basedOn w:val="CommentTextChar"/>
    <w:link w:val="CommentSubject"/>
    <w:uiPriority w:val="99"/>
    <w:semiHidden/>
    <w:rsid w:val="003432DC"/>
    <w:rPr>
      <w:rFonts w:ascii="Trebuchet MS" w:eastAsia="Times New Roman" w:hAnsi="Trebuchet MS" w:cs="Times New Roman"/>
      <w:b/>
      <w:bCs/>
      <w:sz w:val="20"/>
      <w:szCs w:val="20"/>
      <w:lang w:val="en-GB"/>
    </w:rPr>
  </w:style>
  <w:style w:type="paragraph" w:styleId="Quote">
    <w:name w:val="Quote"/>
    <w:basedOn w:val="Normal"/>
    <w:next w:val="Normal"/>
    <w:link w:val="QuoteChar"/>
    <w:uiPriority w:val="29"/>
    <w:qFormat/>
    <w:rsid w:val="00263153"/>
    <w:rPr>
      <w:i/>
      <w:iCs/>
      <w:color w:val="2F2B20" w:themeColor="text1"/>
    </w:rPr>
  </w:style>
  <w:style w:type="character" w:customStyle="1" w:styleId="QuoteChar">
    <w:name w:val="Quote Char"/>
    <w:basedOn w:val="DefaultParagraphFont"/>
    <w:link w:val="Quote"/>
    <w:uiPriority w:val="29"/>
    <w:rsid w:val="00263153"/>
    <w:rPr>
      <w:rFonts w:ascii="Trebuchet MS" w:eastAsia="Times New Roman" w:hAnsi="Trebuchet MS" w:cs="Times New Roman"/>
      <w:i/>
      <w:iCs/>
      <w:color w:val="2F2B20" w:themeColor="text1"/>
      <w:lang w:val="en-GB"/>
    </w:rPr>
  </w:style>
</w:styles>
</file>

<file path=word/webSettings.xml><?xml version="1.0" encoding="utf-8"?>
<w:webSettings xmlns:r="http://schemas.openxmlformats.org/officeDocument/2006/relationships" xmlns:w="http://schemas.openxmlformats.org/wordprocessingml/2006/main">
  <w:divs>
    <w:div w:id="14808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Tool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Topic #2:  Targeting, Beneficiary Selection, and Verification in Urban Cash Programmes</vt:lpstr>
    </vt:vector>
  </TitlesOfParts>
  <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#2:  Targeting, Beneficiary Selection, and Verification in Urban Cash Programmes</dc:title>
  <dc:creator>Tiare</dc:creator>
  <cp:lastModifiedBy>mmenichini</cp:lastModifiedBy>
  <cp:revision>4</cp:revision>
  <cp:lastPrinted>2011-08-31T00:12:00Z</cp:lastPrinted>
  <dcterms:created xsi:type="dcterms:W3CDTF">2011-12-13T20:42:00Z</dcterms:created>
  <dcterms:modified xsi:type="dcterms:W3CDTF">2012-03-07T11:05:00Z</dcterms:modified>
</cp:coreProperties>
</file>