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741"/>
        <w:gridCol w:w="1451"/>
        <w:gridCol w:w="2259"/>
        <w:gridCol w:w="8391"/>
      </w:tblGrid>
      <w:tr w:rsidR="0025740E">
        <w:trPr>
          <w:cantSplit/>
          <w:trHeight w:val="660"/>
        </w:trPr>
        <w:tc>
          <w:tcPr>
            <w:tcW w:w="12842"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0" w:type="dxa"/>
              <w:bottom w:w="0" w:type="dxa"/>
              <w:right w:w="0" w:type="dxa"/>
            </w:tcMar>
          </w:tcPr>
          <w:p w:rsidR="0025740E" w:rsidRDefault="00993DB4">
            <w:pPr>
              <w:pStyle w:val="Heading11"/>
              <w:spacing w:before="96" w:after="96"/>
              <w:rPr>
                <w:rFonts w:ascii="Arial Narrow" w:hAnsi="Arial Narrow"/>
                <w:b/>
                <w:sz w:val="28"/>
              </w:rPr>
            </w:pPr>
            <w:r>
              <w:rPr>
                <w:rFonts w:ascii="Arial Narrow" w:hAnsi="Arial Narrow"/>
                <w:b/>
                <w:bCs/>
                <w:sz w:val="28"/>
                <w:lang w:val="es-ES"/>
              </w:rPr>
              <w:t>Programa de formación y notas para el/la facilitador/a</w:t>
            </w:r>
          </w:p>
          <w:p w:rsidR="0025740E" w:rsidRDefault="00993DB4">
            <w:pPr>
              <w:rPr>
                <w:rFonts w:ascii="Arial Narrow" w:hAnsi="Arial Narrow"/>
                <w:b/>
                <w:sz w:val="22"/>
              </w:rPr>
            </w:pPr>
            <w:r>
              <w:rPr>
                <w:rFonts w:ascii="Arial Narrow" w:hAnsi="Arial Narrow"/>
                <w:b/>
                <w:bCs/>
                <w:sz w:val="22"/>
                <w:lang w:val="es-ES"/>
              </w:rPr>
              <w:t>Manual para transferencias de efectivo y vales en contextos urbanos</w:t>
            </w:r>
          </w:p>
        </w:tc>
      </w:tr>
      <w:tr w:rsidR="0025740E">
        <w:trPr>
          <w:cantSplit/>
          <w:trHeight w:val="330"/>
        </w:trPr>
        <w:tc>
          <w:tcPr>
            <w:tcW w:w="741" w:type="dxa"/>
            <w:tcBorders>
              <w:top w:val="single" w:sz="4" w:space="0" w:color="000000"/>
              <w:left w:val="single" w:sz="4" w:space="0" w:color="000000"/>
              <w:bottom w:val="single" w:sz="4" w:space="0" w:color="000000"/>
              <w:right w:val="single" w:sz="4" w:space="0" w:color="000000"/>
            </w:tcBorders>
            <w:shd w:val="clear" w:color="auto" w:fill="17365D"/>
            <w:tcMar>
              <w:top w:w="0" w:type="dxa"/>
              <w:left w:w="0" w:type="dxa"/>
              <w:bottom w:w="0" w:type="dxa"/>
              <w:right w:w="0" w:type="dxa"/>
            </w:tcMar>
          </w:tcPr>
          <w:p w:rsidR="0025740E" w:rsidRDefault="00993DB4">
            <w:pPr>
              <w:pStyle w:val="Heading11"/>
              <w:spacing w:before="96" w:after="96"/>
              <w:jc w:val="center"/>
              <w:rPr>
                <w:rFonts w:ascii="Arial Narrow" w:hAnsi="Arial Narrow"/>
                <w:b/>
                <w:sz w:val="22"/>
              </w:rPr>
            </w:pPr>
            <w:r>
              <w:rPr>
                <w:rFonts w:ascii="Arial Narrow" w:hAnsi="Arial Narrow"/>
                <w:b/>
                <w:bCs/>
                <w:sz w:val="22"/>
                <w:lang w:val="es-ES"/>
              </w:rPr>
              <w:t>Tiempo</w:t>
            </w:r>
          </w:p>
        </w:tc>
        <w:tc>
          <w:tcPr>
            <w:tcW w:w="1451" w:type="dxa"/>
            <w:tcBorders>
              <w:top w:val="single" w:sz="4" w:space="0" w:color="000000"/>
              <w:left w:val="single" w:sz="4" w:space="0" w:color="000000"/>
              <w:bottom w:val="single" w:sz="4" w:space="0" w:color="000000"/>
              <w:right w:val="single" w:sz="4" w:space="0" w:color="000000"/>
            </w:tcBorders>
            <w:shd w:val="clear" w:color="auto" w:fill="17365D"/>
            <w:tcMar>
              <w:top w:w="0" w:type="dxa"/>
              <w:left w:w="0" w:type="dxa"/>
              <w:bottom w:w="0" w:type="dxa"/>
              <w:right w:w="0" w:type="dxa"/>
            </w:tcMar>
          </w:tcPr>
          <w:p w:rsidR="0025740E" w:rsidRDefault="00993DB4">
            <w:pPr>
              <w:pStyle w:val="Heading11"/>
              <w:spacing w:before="96" w:after="96"/>
              <w:ind w:right="72"/>
              <w:jc w:val="center"/>
              <w:rPr>
                <w:rFonts w:ascii="Arial Narrow" w:hAnsi="Arial Narrow"/>
                <w:b/>
                <w:sz w:val="22"/>
              </w:rPr>
            </w:pPr>
            <w:r>
              <w:rPr>
                <w:rFonts w:ascii="Arial Narrow" w:hAnsi="Arial Narrow"/>
                <w:b/>
                <w:bCs/>
                <w:sz w:val="22"/>
                <w:lang w:val="es-ES"/>
              </w:rPr>
              <w:t xml:space="preserve"> </w:t>
            </w:r>
          </w:p>
        </w:tc>
        <w:tc>
          <w:tcPr>
            <w:tcW w:w="2259" w:type="dxa"/>
            <w:tcBorders>
              <w:top w:val="single" w:sz="4" w:space="0" w:color="000000"/>
              <w:left w:val="single" w:sz="4" w:space="0" w:color="000000"/>
              <w:bottom w:val="single" w:sz="4" w:space="0" w:color="000000"/>
              <w:right w:val="single" w:sz="4" w:space="0" w:color="000000"/>
            </w:tcBorders>
            <w:shd w:val="clear" w:color="auto" w:fill="17365D"/>
            <w:tcMar>
              <w:top w:w="0" w:type="dxa"/>
              <w:left w:w="0" w:type="dxa"/>
              <w:bottom w:w="0" w:type="dxa"/>
              <w:right w:w="0" w:type="dxa"/>
            </w:tcMar>
          </w:tcPr>
          <w:p w:rsidR="0025740E" w:rsidRDefault="00993DB4">
            <w:pPr>
              <w:pStyle w:val="Heading11"/>
              <w:spacing w:before="96" w:after="96"/>
              <w:ind w:right="72"/>
              <w:jc w:val="center"/>
              <w:rPr>
                <w:rFonts w:ascii="Arial Narrow" w:hAnsi="Arial Narrow"/>
                <w:b/>
                <w:sz w:val="22"/>
              </w:rPr>
            </w:pPr>
            <w:r>
              <w:rPr>
                <w:rFonts w:ascii="Arial Narrow" w:hAnsi="Arial Narrow"/>
                <w:b/>
                <w:bCs/>
                <w:sz w:val="22"/>
                <w:lang w:val="es-ES"/>
              </w:rPr>
              <w:t>Objetivo</w:t>
            </w:r>
          </w:p>
        </w:tc>
        <w:tc>
          <w:tcPr>
            <w:tcW w:w="8389" w:type="dxa"/>
            <w:tcBorders>
              <w:top w:val="single" w:sz="4" w:space="0" w:color="000000"/>
              <w:left w:val="single" w:sz="4" w:space="0" w:color="000000"/>
              <w:bottom w:val="single" w:sz="4" w:space="0" w:color="000000"/>
              <w:right w:val="single" w:sz="4" w:space="0" w:color="000000"/>
            </w:tcBorders>
            <w:shd w:val="clear" w:color="auto" w:fill="17365D"/>
            <w:tcMar>
              <w:top w:w="0" w:type="dxa"/>
              <w:left w:w="0" w:type="dxa"/>
              <w:bottom w:w="0" w:type="dxa"/>
              <w:right w:w="0" w:type="dxa"/>
            </w:tcMar>
          </w:tcPr>
          <w:p w:rsidR="0025740E" w:rsidRDefault="00993DB4">
            <w:pPr>
              <w:pStyle w:val="Heading11"/>
              <w:spacing w:before="96" w:after="96"/>
              <w:jc w:val="center"/>
              <w:rPr>
                <w:rFonts w:ascii="Arial Narrow" w:hAnsi="Arial Narrow"/>
                <w:b/>
                <w:sz w:val="22"/>
              </w:rPr>
            </w:pPr>
            <w:r>
              <w:rPr>
                <w:rFonts w:ascii="Arial Narrow" w:hAnsi="Arial Narrow"/>
                <w:b/>
                <w:bCs/>
                <w:sz w:val="22"/>
                <w:lang w:val="es-ES"/>
              </w:rPr>
              <w:t>Actividades</w:t>
            </w:r>
          </w:p>
        </w:tc>
      </w:tr>
      <w:tr w:rsidR="0025740E">
        <w:trPr>
          <w:cantSplit/>
          <w:trHeight w:val="168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jc w:val="both"/>
              <w:rPr>
                <w:rFonts w:ascii="Arial Narrow" w:hAnsi="Arial Narrow"/>
                <w:sz w:val="22"/>
              </w:rPr>
            </w:pPr>
            <w:r>
              <w:rPr>
                <w:rFonts w:ascii="Arial Narrow" w:hAnsi="Arial Narrow"/>
                <w:sz w:val="22"/>
                <w:lang w:val="es-ES"/>
              </w:rPr>
              <w:t>30 minutos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ind w:right="72"/>
              <w:rPr>
                <w:rFonts w:ascii="Arial Narrow" w:hAnsi="Arial Narrow"/>
                <w:sz w:val="22"/>
              </w:rPr>
            </w:pPr>
            <w:r>
              <w:rPr>
                <w:rFonts w:ascii="Arial Narrow" w:hAnsi="Arial Narrow"/>
                <w:sz w:val="22"/>
                <w:lang w:val="es-ES"/>
              </w:rPr>
              <w:t>Introducción</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ind w:right="72"/>
              <w:rPr>
                <w:rFonts w:ascii="Arial Narrow" w:hAnsi="Arial Narrow"/>
                <w:sz w:val="22"/>
              </w:rPr>
            </w:pPr>
            <w:r>
              <w:rPr>
                <w:rFonts w:ascii="Arial Narrow" w:hAnsi="Arial Narrow"/>
                <w:sz w:val="22"/>
                <w:lang w:val="es-ES"/>
              </w:rPr>
              <w:t>Presentación breve de todo el manual, así como repaso de los módulos que se van a cubrir y familiarización con las herramientas de toma de decisiones para respuestas con transferencias de efectivo en contextos urbanos.</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numPr>
                <w:ilvl w:val="0"/>
                <w:numId w:val="1"/>
              </w:numPr>
              <w:tabs>
                <w:tab w:val="clear" w:pos="360"/>
                <w:tab w:val="num" w:pos="720"/>
              </w:tabs>
              <w:spacing w:before="96" w:after="96"/>
              <w:ind w:left="720" w:hanging="360"/>
              <w:rPr>
                <w:rFonts w:ascii="Arial Narrow" w:hAnsi="Arial Narrow"/>
              </w:rPr>
            </w:pPr>
            <w:r>
              <w:rPr>
                <w:rFonts w:ascii="Arial Narrow" w:hAnsi="Arial Narrow"/>
                <w:lang w:val="es-ES"/>
              </w:rPr>
              <w:t xml:space="preserve">Presente brevemente el </w:t>
            </w:r>
            <w:r>
              <w:rPr>
                <w:rFonts w:ascii="Arial Narrow" w:hAnsi="Arial Narrow"/>
                <w:b/>
                <w:bCs/>
                <w:lang w:val="es-ES"/>
              </w:rPr>
              <w:t xml:space="preserve">contenido </w:t>
            </w:r>
            <w:r>
              <w:rPr>
                <w:rFonts w:ascii="Arial Narrow" w:hAnsi="Arial Narrow"/>
                <w:lang w:val="es-ES"/>
              </w:rPr>
              <w:t xml:space="preserve">y los </w:t>
            </w:r>
            <w:r>
              <w:rPr>
                <w:rFonts w:ascii="Arial Narrow" w:hAnsi="Arial Narrow"/>
                <w:b/>
                <w:bCs/>
                <w:lang w:val="es-ES"/>
              </w:rPr>
              <w:t>objetivos</w:t>
            </w:r>
            <w:r>
              <w:rPr>
                <w:rFonts w:ascii="Arial Narrow" w:hAnsi="Arial Narrow"/>
                <w:lang w:val="es-ES"/>
              </w:rPr>
              <w:t xml:space="preserve"> de todo el manual o de los módulos que usted ha elegido cubrir.</w:t>
            </w:r>
          </w:p>
          <w:p w:rsidR="0025740E" w:rsidRDefault="00993DB4">
            <w:pPr>
              <w:pStyle w:val="ListParagraph"/>
              <w:numPr>
                <w:ilvl w:val="0"/>
                <w:numId w:val="1"/>
              </w:numPr>
              <w:tabs>
                <w:tab w:val="clear" w:pos="360"/>
                <w:tab w:val="num" w:pos="720"/>
              </w:tabs>
              <w:ind w:left="720" w:hanging="360"/>
              <w:rPr>
                <w:rFonts w:ascii="Arial Narrow" w:hAnsi="Arial Narrow"/>
              </w:rPr>
            </w:pPr>
            <w:r>
              <w:rPr>
                <w:rFonts w:ascii="Arial Narrow" w:hAnsi="Arial Narrow"/>
                <w:lang w:val="es-ES"/>
              </w:rPr>
              <w:t>Repase los árboles de decisión para los análisis de respuestas y analice su aplicación en unos cuantos contextos con los que su grupo esté familiarizado.</w:t>
            </w:r>
          </w:p>
        </w:tc>
      </w:tr>
      <w:tr w:rsidR="0025740E">
        <w:trPr>
          <w:cantSplit/>
          <w:trHeight w:val="332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jc w:val="both"/>
              <w:rPr>
                <w:rFonts w:ascii="Arial Narrow" w:hAnsi="Arial Narrow"/>
                <w:sz w:val="22"/>
              </w:rPr>
            </w:pPr>
            <w:r>
              <w:rPr>
                <w:rFonts w:ascii="Arial Narrow" w:hAnsi="Arial Narrow"/>
                <w:sz w:val="22"/>
                <w:lang w:val="es-ES"/>
              </w:rPr>
              <w:t>45 minutos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1: Análisis rápido de entornos urbanos</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Comprender el modo en el que los análisis de zonas urbanas difieren de los de zonas rurales.</w:t>
            </w:r>
          </w:p>
          <w:p w:rsidR="0025740E" w:rsidRDefault="0025740E">
            <w:pPr>
              <w:spacing w:before="96" w:after="96"/>
              <w:rPr>
                <w:rFonts w:ascii="Arial Narrow" w:hAnsi="Arial Narrow"/>
                <w:sz w:val="22"/>
              </w:rPr>
            </w:pPr>
          </w:p>
          <w:p w:rsidR="0025740E" w:rsidRDefault="00993DB4">
            <w:pPr>
              <w:spacing w:before="96" w:after="96"/>
              <w:rPr>
                <w:rFonts w:ascii="Arial Narrow" w:hAnsi="Arial Narrow"/>
                <w:sz w:val="22"/>
              </w:rPr>
            </w:pPr>
            <w:r>
              <w:rPr>
                <w:rFonts w:ascii="Arial Narrow" w:hAnsi="Arial Narrow"/>
                <w:sz w:val="22"/>
                <w:lang w:val="es-ES"/>
              </w:rPr>
              <w:t xml:space="preserve">Comprender </w:t>
            </w:r>
            <w:r>
              <w:rPr>
                <w:rFonts w:ascii="Arial Narrow" w:hAnsi="Arial Narrow"/>
                <w:b/>
                <w:bCs/>
                <w:sz w:val="22"/>
                <w:lang w:val="es-ES"/>
              </w:rPr>
              <w:t>cuatro pasos clave</w:t>
            </w:r>
            <w:r>
              <w:rPr>
                <w:rFonts w:ascii="Arial Narrow" w:hAnsi="Arial Narrow"/>
                <w:sz w:val="22"/>
                <w:lang w:val="es-ES"/>
              </w:rPr>
              <w:t xml:space="preserve"> del análisis de un contexto urbano para un programa que integre transferencias de efectivo o vales: 1) mapeo de la ciudad, 2) grupos de discusión para comprender las vulnerabilidades, 3) encuestas a hogares, y 4) análisis y mapeo de mercados.</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2"/>
              </w:numPr>
              <w:tabs>
                <w:tab w:val="clear" w:pos="360"/>
                <w:tab w:val="num" w:pos="720"/>
              </w:tabs>
              <w:spacing w:before="96" w:after="96"/>
              <w:ind w:left="720" w:hanging="360"/>
              <w:rPr>
                <w:rFonts w:ascii="Arial Narrow" w:hAnsi="Arial Narrow"/>
              </w:rPr>
            </w:pPr>
            <w:r>
              <w:rPr>
                <w:rFonts w:ascii="Arial Narrow" w:hAnsi="Arial Narrow"/>
                <w:lang w:val="es-ES"/>
              </w:rPr>
              <w:t>Resuma el conjunto de razones por las que deberíamos adaptar nuestra metodología habitual de análisis a entornos urbanos. En especial, adquieren gran importancia los conceptos de "pobreza urbana" y "población urbana invisible".</w:t>
            </w:r>
          </w:p>
          <w:p w:rsidR="0025740E" w:rsidRDefault="00993DB4">
            <w:pPr>
              <w:pStyle w:val="ListParagraph"/>
              <w:numPr>
                <w:ilvl w:val="0"/>
                <w:numId w:val="2"/>
              </w:numPr>
              <w:tabs>
                <w:tab w:val="clear" w:pos="360"/>
                <w:tab w:val="num" w:pos="720"/>
              </w:tabs>
              <w:spacing w:before="96" w:after="96"/>
              <w:ind w:left="720" w:hanging="360"/>
              <w:rPr>
                <w:rFonts w:ascii="Arial Narrow" w:hAnsi="Arial Narrow"/>
              </w:rPr>
            </w:pPr>
            <w:r>
              <w:rPr>
                <w:rFonts w:ascii="Arial Narrow" w:hAnsi="Arial Narrow"/>
                <w:lang w:val="es-ES"/>
              </w:rPr>
              <w:t>Examine los objetivos sectoriales de un análisis y los tipos habituales de análisis.</w:t>
            </w:r>
          </w:p>
          <w:p w:rsidR="0025740E" w:rsidRDefault="00993DB4">
            <w:pPr>
              <w:pStyle w:val="ListParagraph"/>
              <w:numPr>
                <w:ilvl w:val="0"/>
                <w:numId w:val="3"/>
              </w:numPr>
              <w:tabs>
                <w:tab w:val="clear" w:pos="360"/>
                <w:tab w:val="num" w:pos="720"/>
              </w:tabs>
              <w:spacing w:before="96" w:after="96"/>
              <w:ind w:left="720" w:hanging="360"/>
              <w:rPr>
                <w:rFonts w:ascii="Arial Narrow" w:hAnsi="Arial Narrow"/>
              </w:rPr>
            </w:pPr>
            <w:r>
              <w:rPr>
                <w:rFonts w:ascii="Arial Narrow" w:hAnsi="Arial Narrow"/>
                <w:lang w:val="es-ES"/>
              </w:rPr>
              <w:t>Examine los cuatro pasos recomendados en este manual para la realización de un análisis rápido de contextos urbanos.</w:t>
            </w:r>
          </w:p>
        </w:tc>
      </w:tr>
      <w:tr w:rsidR="0025740E">
        <w:trPr>
          <w:cantSplit/>
          <w:trHeight w:val="310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jc w:val="both"/>
              <w:rPr>
                <w:rFonts w:ascii="Arial Narrow" w:hAnsi="Arial Narrow"/>
                <w:sz w:val="22"/>
              </w:rPr>
            </w:pPr>
            <w:r>
              <w:rPr>
                <w:rFonts w:ascii="Arial Narrow" w:hAnsi="Arial Narrow"/>
                <w:sz w:val="22"/>
                <w:lang w:val="es-ES"/>
              </w:rPr>
              <w:lastRenderedPageBreak/>
              <w:t>45 minutos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2:  Zonificación geográfica de la ciudad y de sus medios de vida</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Describir distintas formas de recabar información sobre las principales características socioeconómicas de las ciudades.</w:t>
            </w:r>
          </w:p>
          <w:p w:rsidR="0025740E" w:rsidRDefault="0025740E">
            <w:pPr>
              <w:spacing w:before="96" w:after="96"/>
              <w:rPr>
                <w:rFonts w:ascii="Arial Narrow" w:hAnsi="Arial Narrow"/>
                <w:sz w:val="22"/>
              </w:rPr>
            </w:pPr>
          </w:p>
          <w:p w:rsidR="0025740E" w:rsidRDefault="00993DB4">
            <w:pPr>
              <w:spacing w:before="96" w:after="96"/>
              <w:rPr>
                <w:rFonts w:ascii="Arial Narrow" w:hAnsi="Arial Narrow"/>
                <w:sz w:val="22"/>
              </w:rPr>
            </w:pPr>
            <w:r>
              <w:rPr>
                <w:rFonts w:ascii="Arial Narrow" w:hAnsi="Arial Narrow"/>
                <w:sz w:val="22"/>
                <w:lang w:val="es-ES"/>
              </w:rPr>
              <w:t>Comprender el modo de dividir una ciudad en zonas de menor tamaño para mejorar el análisis y la toma de decisiones.</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4"/>
              </w:numPr>
              <w:spacing w:before="96" w:after="96"/>
              <w:ind w:hanging="360"/>
              <w:rPr>
                <w:rFonts w:ascii="Arial Narrow" w:hAnsi="Arial Narrow"/>
              </w:rPr>
            </w:pPr>
            <w:r>
              <w:rPr>
                <w:rFonts w:ascii="Arial Narrow" w:hAnsi="Arial Narrow"/>
                <w:lang w:val="es-ES"/>
              </w:rPr>
              <w:t>Dé a los participantes la posibilidad de leer el cuestionario para las reuniones de los grupos de discusión (uno de los anexos del manual). Divida el grupo en cuatro subgrupos y pídales que representen mediante roles cada una de las cuatro partes en las que interviene el grupo de discusión: el mapeo de la comunidad, la información de los barrios, las redes sociales y la cesta de alimentos.</w:t>
            </w:r>
          </w:p>
          <w:p w:rsidR="0025740E" w:rsidRDefault="00993DB4">
            <w:pPr>
              <w:pStyle w:val="ListParagraph"/>
              <w:numPr>
                <w:ilvl w:val="1"/>
                <w:numId w:val="5"/>
              </w:numPr>
              <w:tabs>
                <w:tab w:val="clear" w:pos="360"/>
                <w:tab w:val="num" w:pos="1080"/>
              </w:tabs>
              <w:spacing w:before="96" w:after="96"/>
              <w:ind w:left="1080" w:hanging="360"/>
              <w:rPr>
                <w:rFonts w:ascii="Arial Narrow" w:hAnsi="Arial Narrow"/>
              </w:rPr>
            </w:pPr>
            <w:r>
              <w:rPr>
                <w:rFonts w:ascii="Arial Narrow" w:hAnsi="Arial Narrow"/>
                <w:lang w:val="es-ES"/>
              </w:rPr>
              <w:t>Recomendación: Pida a los integrantes de cada grupo que respondan las preguntas utilizando el conocimiento que tienen de su propia comunidad, para que la conversación sea más realista.</w:t>
            </w:r>
          </w:p>
          <w:p w:rsidR="0025740E" w:rsidRDefault="00993DB4">
            <w:pPr>
              <w:pStyle w:val="ListParagraph"/>
              <w:numPr>
                <w:ilvl w:val="1"/>
                <w:numId w:val="5"/>
              </w:numPr>
              <w:tabs>
                <w:tab w:val="clear" w:pos="360"/>
                <w:tab w:val="num" w:pos="1080"/>
              </w:tabs>
              <w:spacing w:before="96" w:after="96"/>
              <w:ind w:left="1080" w:hanging="360"/>
              <w:rPr>
                <w:rFonts w:ascii="Arial Narrow" w:hAnsi="Arial Narrow"/>
              </w:rPr>
            </w:pPr>
            <w:r>
              <w:rPr>
                <w:rFonts w:ascii="Arial Narrow" w:hAnsi="Arial Narrow"/>
                <w:lang w:val="es-ES"/>
              </w:rPr>
              <w:t>Asegúrese de que la representación de cada grupo no exceda los 5 o 10 minutos, pasado ese tiempo tendrá que interrumpirles.</w:t>
            </w:r>
          </w:p>
          <w:p w:rsidR="0025740E" w:rsidRDefault="00993DB4">
            <w:pPr>
              <w:pStyle w:val="ListParagraph"/>
              <w:numPr>
                <w:ilvl w:val="1"/>
                <w:numId w:val="5"/>
              </w:numPr>
              <w:tabs>
                <w:tab w:val="clear" w:pos="360"/>
                <w:tab w:val="num" w:pos="1080"/>
              </w:tabs>
              <w:spacing w:before="96" w:after="96"/>
              <w:ind w:left="1080" w:hanging="360"/>
              <w:rPr>
                <w:rFonts w:ascii="Arial Narrow" w:hAnsi="Arial Narrow"/>
              </w:rPr>
            </w:pPr>
            <w:r>
              <w:rPr>
                <w:rFonts w:ascii="Arial Narrow" w:hAnsi="Arial Narrow"/>
                <w:lang w:val="es-ES"/>
              </w:rPr>
              <w:t>Realice una puesta en común con todo el grupo, en la que el facilitador o la facilitadora indique las técnicas que han sido positivas y los aspectos a mejorar.</w:t>
            </w:r>
          </w:p>
        </w:tc>
      </w:tr>
      <w:tr w:rsidR="0025740E">
        <w:trPr>
          <w:cantSplit/>
          <w:trHeight w:val="308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45 minutos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3: Vulnerabilidades urbanas y elaboración de encuestas dirigidas a los hogares</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Conocer al menos cuatro estrategias para comprender las vulnerabilidades urbanas.</w:t>
            </w:r>
          </w:p>
          <w:p w:rsidR="0025740E" w:rsidRDefault="0025740E">
            <w:pPr>
              <w:spacing w:before="96" w:after="96"/>
              <w:rPr>
                <w:rFonts w:ascii="Arial Narrow" w:hAnsi="Arial Narrow"/>
                <w:sz w:val="22"/>
              </w:rPr>
            </w:pPr>
          </w:p>
          <w:p w:rsidR="0025740E" w:rsidRDefault="00993DB4">
            <w:pPr>
              <w:spacing w:before="96" w:after="96"/>
              <w:rPr>
                <w:rFonts w:ascii="Arial Narrow" w:hAnsi="Arial Narrow"/>
                <w:sz w:val="22"/>
              </w:rPr>
            </w:pPr>
            <w:r>
              <w:rPr>
                <w:rFonts w:ascii="Arial Narrow" w:hAnsi="Arial Narrow"/>
                <w:sz w:val="22"/>
                <w:lang w:val="es-ES"/>
              </w:rPr>
              <w:t>Describir problemas comunes a la hora de comprender las vulnerabilidades urbanas.</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6"/>
              </w:numPr>
              <w:ind w:hanging="360"/>
              <w:rPr>
                <w:rFonts w:ascii="Arial Narrow" w:hAnsi="Arial Narrow"/>
              </w:rPr>
            </w:pPr>
            <w:r>
              <w:rPr>
                <w:rFonts w:ascii="Arial Narrow" w:hAnsi="Arial Narrow"/>
                <w:lang w:val="es-ES"/>
              </w:rPr>
              <w:t>Comente con los participantes las estrategias de determinación intencionada de la población beneficiaria para garantizar que el análisis incluya a grupos vulnerables que no resulten visibles.</w:t>
            </w:r>
          </w:p>
          <w:p w:rsidR="0025740E" w:rsidRDefault="00993DB4">
            <w:pPr>
              <w:pStyle w:val="ListParagraph"/>
              <w:numPr>
                <w:ilvl w:val="0"/>
                <w:numId w:val="6"/>
              </w:numPr>
              <w:ind w:hanging="360"/>
              <w:rPr>
                <w:rFonts w:ascii="Arial Narrow" w:hAnsi="Arial Narrow"/>
              </w:rPr>
            </w:pPr>
            <w:r>
              <w:rPr>
                <w:rFonts w:ascii="Arial Narrow" w:hAnsi="Arial Narrow"/>
                <w:lang w:val="es-ES"/>
              </w:rPr>
              <w:t>Analice la determinación de la población beneficiaria en función de su pertenencia a una comunidad frente a criterios individuales o de medios de vida o de pertenencia a otros grupos en distintos contextos, por ejemplo, con la superposición de un conflicto, una catástrofe de aparición repentina, una situación con personas desplazadas internas o refugiados, etc.</w:t>
            </w:r>
          </w:p>
          <w:p w:rsidR="0025740E" w:rsidRDefault="00993DB4">
            <w:pPr>
              <w:pStyle w:val="ListParagraph"/>
              <w:numPr>
                <w:ilvl w:val="0"/>
                <w:numId w:val="6"/>
              </w:numPr>
              <w:ind w:hanging="360"/>
              <w:rPr>
                <w:rFonts w:ascii="Arial Narrow" w:hAnsi="Arial Narrow"/>
              </w:rPr>
            </w:pPr>
            <w:r>
              <w:rPr>
                <w:rFonts w:ascii="Arial Narrow" w:hAnsi="Arial Narrow"/>
                <w:lang w:val="es-ES"/>
              </w:rPr>
              <w:t>Haga una puesta en común sobre características de vulnerabilidad distintas para entornos rurales y urbanos en el país en el que esté realizando la formación (o en el que se esté enfocando la organización).</w:t>
            </w:r>
          </w:p>
          <w:p w:rsidR="0025740E" w:rsidRDefault="00993DB4">
            <w:pPr>
              <w:pStyle w:val="ListParagraph"/>
              <w:numPr>
                <w:ilvl w:val="0"/>
                <w:numId w:val="6"/>
              </w:numPr>
              <w:ind w:hanging="360"/>
              <w:rPr>
                <w:rFonts w:ascii="Arial Narrow" w:hAnsi="Arial Narrow"/>
              </w:rPr>
            </w:pPr>
            <w:r>
              <w:rPr>
                <w:rFonts w:ascii="Arial Narrow" w:hAnsi="Arial Narrow"/>
                <w:lang w:val="es-ES"/>
              </w:rPr>
              <w:t xml:space="preserve">Analice las encuestas, los cuestionarios y demás documentos del proyecto existentes para identificar las áreas que podrían diferir en contextos urbanos. </w:t>
            </w:r>
          </w:p>
          <w:p w:rsidR="0025740E" w:rsidRDefault="00993DB4">
            <w:pPr>
              <w:pStyle w:val="ListParagraph"/>
              <w:numPr>
                <w:ilvl w:val="0"/>
                <w:numId w:val="6"/>
              </w:numPr>
              <w:ind w:hanging="360"/>
              <w:rPr>
                <w:rFonts w:ascii="Arial Narrow" w:hAnsi="Arial Narrow"/>
              </w:rPr>
            </w:pPr>
            <w:r>
              <w:rPr>
                <w:rFonts w:ascii="Arial Narrow" w:hAnsi="Arial Narrow"/>
                <w:lang w:val="es-ES"/>
              </w:rPr>
              <w:t>Haga hincapié en que los gastos domésticos resultan igualmente importantes en los hogares urbanos y muestre cómo calcular los ingresos frente a los gastos para comprender la actividad económica de los hogares.</w:t>
            </w:r>
          </w:p>
        </w:tc>
      </w:tr>
      <w:tr w:rsidR="0025740E">
        <w:trPr>
          <w:cantSplit/>
          <w:trHeight w:val="196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lastRenderedPageBreak/>
              <w:t>45 minutos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4:  Análisis y mapeo de mercados</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Poder realizar un mapa básico del mercado de productos básicos.</w:t>
            </w:r>
          </w:p>
          <w:p w:rsidR="0025740E" w:rsidRDefault="0025740E">
            <w:pPr>
              <w:spacing w:before="96" w:after="96"/>
              <w:rPr>
                <w:rFonts w:ascii="Arial Narrow" w:hAnsi="Arial Narrow"/>
                <w:sz w:val="22"/>
              </w:rPr>
            </w:pPr>
          </w:p>
          <w:p w:rsidR="0025740E" w:rsidRDefault="0025740E">
            <w:pPr>
              <w:spacing w:before="96" w:after="96"/>
            </w:pP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7"/>
              </w:numPr>
              <w:ind w:hanging="360"/>
              <w:rPr>
                <w:rFonts w:ascii="Arial Narrow" w:hAnsi="Arial Narrow"/>
              </w:rPr>
            </w:pPr>
            <w:r>
              <w:rPr>
                <w:rFonts w:ascii="Arial Narrow" w:hAnsi="Arial Narrow"/>
                <w:lang w:val="es-ES"/>
              </w:rPr>
              <w:t>Exponga las razones por las que los programas que integran transferencias de efectivo y vales deberían hacer un seguimiento de las dinámicas de los mercados tanto para establecer una intervención adecuada como a lo largo del ciclo del proyecto.</w:t>
            </w:r>
          </w:p>
          <w:p w:rsidR="0025740E" w:rsidRDefault="00993DB4">
            <w:pPr>
              <w:pStyle w:val="ListParagraph"/>
              <w:numPr>
                <w:ilvl w:val="0"/>
                <w:numId w:val="7"/>
              </w:numPr>
              <w:ind w:hanging="360"/>
              <w:rPr>
                <w:rFonts w:ascii="Arial Narrow" w:hAnsi="Arial Narrow"/>
              </w:rPr>
            </w:pPr>
            <w:r>
              <w:rPr>
                <w:rFonts w:ascii="Arial Narrow" w:hAnsi="Arial Narrow"/>
                <w:lang w:val="es-ES"/>
              </w:rPr>
              <w:t xml:space="preserve">Guíe al grupo a través del proceso de mapeo de un producto básico local con el que todos estén familiarizados (probablemente el pan o el arroz). Rellenen en grupo el mapa del mercado en un </w:t>
            </w:r>
            <w:proofErr w:type="spellStart"/>
            <w:r>
              <w:rPr>
                <w:rFonts w:ascii="Arial Narrow" w:hAnsi="Arial Narrow"/>
                <w:lang w:val="es-ES"/>
              </w:rPr>
              <w:t>papelógrafo</w:t>
            </w:r>
            <w:proofErr w:type="spellEnd"/>
            <w:r>
              <w:rPr>
                <w:rFonts w:ascii="Arial Narrow" w:hAnsi="Arial Narrow"/>
                <w:lang w:val="es-ES"/>
              </w:rPr>
              <w:t>, o en el ordenador utilizando la plantilla facilitada en el anexo correspondiente del manual.</w:t>
            </w:r>
          </w:p>
          <w:p w:rsidR="0025740E" w:rsidRDefault="00993DB4">
            <w:pPr>
              <w:pStyle w:val="ListParagraph"/>
              <w:numPr>
                <w:ilvl w:val="0"/>
                <w:numId w:val="7"/>
              </w:numPr>
              <w:ind w:hanging="360"/>
              <w:rPr>
                <w:rFonts w:ascii="Arial Narrow" w:hAnsi="Arial Narrow"/>
              </w:rPr>
            </w:pPr>
            <w:r>
              <w:rPr>
                <w:rFonts w:ascii="Arial Narrow" w:hAnsi="Arial Narrow"/>
                <w:lang w:val="es-ES"/>
              </w:rPr>
              <w:t>Cite el manual de EMMA y otros recursos para ejercicios de mapeo de mercados más detallados.</w:t>
            </w:r>
          </w:p>
        </w:tc>
      </w:tr>
      <w:tr w:rsidR="0025740E">
        <w:trPr>
          <w:cantSplit/>
          <w:trHeight w:val="170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2 horas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5: Determinación, selección y verificación de personas beneficiarias</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Comprender los motivos por los que la determinación de la población beneficiaria en zonas urbanas es potencialmente más problemática y las estrategias para una determinación certera.</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8"/>
              </w:numPr>
              <w:ind w:hanging="360"/>
              <w:rPr>
                <w:rFonts w:ascii="Calibri Italic" w:hAnsi="Calibri Italic"/>
              </w:rPr>
            </w:pPr>
            <w:r>
              <w:rPr>
                <w:rFonts w:ascii="Arial Narrow" w:hAnsi="Arial Narrow"/>
                <w:lang w:val="es-ES"/>
              </w:rPr>
              <w:t>Explique la terminología clave utilizada en la determinación, la selección, la inscripción y la verificación de las personas beneficiarias para que todos los participantes entiendan los términos y los procesos de la misma forma.</w:t>
            </w:r>
          </w:p>
          <w:p w:rsidR="0025740E" w:rsidRDefault="00993DB4">
            <w:pPr>
              <w:pStyle w:val="ListParagraph"/>
              <w:numPr>
                <w:ilvl w:val="0"/>
                <w:numId w:val="8"/>
              </w:numPr>
              <w:ind w:hanging="360"/>
              <w:rPr>
                <w:rFonts w:ascii="Calibri Italic" w:hAnsi="Calibri Italic"/>
              </w:rPr>
            </w:pPr>
            <w:r>
              <w:rPr>
                <w:rFonts w:ascii="Arial Narrow" w:hAnsi="Arial Narrow"/>
                <w:lang w:val="es-ES"/>
              </w:rPr>
              <w:t>Describa a los participantes un proyecto ficticio y divídalos en grupos de trabajo. Pídales que elaboren un plan para la determinación de la población beneficiaria de ese proyecto utilizando las directrices de la plantilla de procedimientos normalizados de trabajo. Discutan en grupo las estrategias; el facilitador o la facilitadora debe comentar las mejores prácticas y los cambios que podrían efectuarse.</w:t>
            </w:r>
            <w:r>
              <w:rPr>
                <w:rFonts w:ascii="Calibri Italic" w:hAnsi="Calibri Italic"/>
                <w:lang w:val="es-ES"/>
              </w:rPr>
              <w:t xml:space="preserve"> </w:t>
            </w:r>
          </w:p>
        </w:tc>
      </w:tr>
      <w:tr w:rsidR="0025740E">
        <w:trPr>
          <w:cantSplit/>
          <w:trHeight w:val="284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2 horas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6:  Puesta en práctica de proyectos en zonas urbanas</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Comprender los gastos domésticos de la población urbana y la forma de planificar adecuadamente proyectos que integren transferencias de efectivo.</w:t>
            </w:r>
          </w:p>
          <w:p w:rsidR="0025740E" w:rsidRDefault="0025740E">
            <w:pPr>
              <w:spacing w:before="96" w:after="96"/>
              <w:rPr>
                <w:rFonts w:ascii="Arial Narrow" w:hAnsi="Arial Narrow"/>
                <w:sz w:val="22"/>
              </w:rPr>
            </w:pPr>
          </w:p>
          <w:p w:rsidR="0025740E" w:rsidRDefault="00993DB4">
            <w:pPr>
              <w:spacing w:before="96" w:after="96"/>
              <w:rPr>
                <w:rFonts w:ascii="Arial Narrow" w:hAnsi="Arial Narrow"/>
                <w:sz w:val="22"/>
              </w:rPr>
            </w:pPr>
            <w:r>
              <w:rPr>
                <w:rFonts w:ascii="Arial Narrow" w:hAnsi="Arial Narrow"/>
                <w:sz w:val="22"/>
                <w:lang w:val="es-ES"/>
              </w:rPr>
              <w:t>Mostrar capacidad para establecer una colaboración eficaz con socios tanto privados como de otro tipo en un proyecto urbano con transferencias de efectivo.</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9"/>
              </w:numPr>
              <w:ind w:hanging="360"/>
              <w:rPr>
                <w:rFonts w:ascii="Arial Narrow" w:hAnsi="Arial Narrow"/>
              </w:rPr>
            </w:pPr>
            <w:r>
              <w:rPr>
                <w:rFonts w:ascii="Arial Narrow" w:hAnsi="Arial Narrow"/>
                <w:lang w:val="es-ES"/>
              </w:rPr>
              <w:t>Resuma los temas clave expuestos en este apartado y recalque que se destacan en la parte correspondiente a la puesta en práctica por los problemas que pueden plantear en contextos urbanos.</w:t>
            </w:r>
          </w:p>
          <w:p w:rsidR="0025740E" w:rsidRDefault="00993DB4">
            <w:pPr>
              <w:pStyle w:val="ListParagraph"/>
              <w:numPr>
                <w:ilvl w:val="0"/>
                <w:numId w:val="9"/>
              </w:numPr>
              <w:ind w:hanging="360"/>
              <w:rPr>
                <w:rFonts w:ascii="Arial Narrow" w:hAnsi="Arial Narrow"/>
              </w:rPr>
            </w:pPr>
            <w:r>
              <w:rPr>
                <w:rFonts w:ascii="Arial Narrow" w:hAnsi="Arial Narrow"/>
                <w:lang w:val="es-ES"/>
              </w:rPr>
              <w:t xml:space="preserve">Examine la lista de verificación de los gastos de los hogares y pida al grupo que, conforme usted la </w:t>
            </w:r>
            <w:proofErr w:type="spellStart"/>
            <w:r>
              <w:rPr>
                <w:rFonts w:ascii="Arial Narrow" w:hAnsi="Arial Narrow"/>
                <w:lang w:val="es-ES"/>
              </w:rPr>
              <w:t>vaya</w:t>
            </w:r>
            <w:proofErr w:type="spellEnd"/>
            <w:r>
              <w:rPr>
                <w:rFonts w:ascii="Arial Narrow" w:hAnsi="Arial Narrow"/>
                <w:lang w:val="es-ES"/>
              </w:rPr>
              <w:t xml:space="preserve"> revisando, añada o adapte lo que considere oportuno al contexto local (es decir, que remplacen los artículos de la lista por nombres locales o tachen los que no correspondan).</w:t>
            </w:r>
          </w:p>
          <w:p w:rsidR="0025740E" w:rsidRDefault="00993DB4">
            <w:pPr>
              <w:pStyle w:val="ListParagraph"/>
              <w:numPr>
                <w:ilvl w:val="0"/>
                <w:numId w:val="9"/>
              </w:numPr>
              <w:ind w:hanging="360"/>
              <w:rPr>
                <w:rFonts w:ascii="Arial Narrow" w:hAnsi="Arial Narrow"/>
              </w:rPr>
            </w:pPr>
            <w:r>
              <w:rPr>
                <w:rFonts w:ascii="Arial Narrow" w:hAnsi="Arial Narrow"/>
                <w:lang w:val="es-ES"/>
              </w:rPr>
              <w:t xml:space="preserve">Divida el grupo en "bancos", "organizaciones de </w:t>
            </w:r>
            <w:proofErr w:type="spellStart"/>
            <w:r>
              <w:rPr>
                <w:rFonts w:ascii="Arial Narrow" w:hAnsi="Arial Narrow"/>
                <w:lang w:val="es-ES"/>
              </w:rPr>
              <w:t>microfinanciación</w:t>
            </w:r>
            <w:proofErr w:type="spellEnd"/>
            <w:r>
              <w:rPr>
                <w:rFonts w:ascii="Arial Narrow" w:hAnsi="Arial Narrow"/>
                <w:lang w:val="es-ES"/>
              </w:rPr>
              <w:t>", "organizaciones comunitarias" y "empresas de telefonía móvil".  Pida a cada grupo que elabore en 10 minutos un "anuncio comercial" que va a presentar a los demás en el que destaque las ventajas que su institución brinda a un programa que integre transferencias de efectivo.  El facilitador o la facilitadora examinará cada opción y realizará preguntas al grupo para "evaluarlo" conforme a la lista de escrutinio de colaboradores.</w:t>
            </w:r>
          </w:p>
        </w:tc>
      </w:tr>
      <w:tr w:rsidR="0025740E">
        <w:trPr>
          <w:cantSplit/>
          <w:trHeight w:val="280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jc w:val="both"/>
              <w:rPr>
                <w:rFonts w:ascii="Arial Narrow" w:hAnsi="Arial Narrow"/>
                <w:sz w:val="22"/>
              </w:rPr>
            </w:pPr>
            <w:r>
              <w:rPr>
                <w:rFonts w:ascii="Arial Narrow" w:hAnsi="Arial Narrow"/>
                <w:sz w:val="22"/>
                <w:lang w:val="es-ES"/>
              </w:rPr>
              <w:lastRenderedPageBreak/>
              <w:t>1,5 horas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7:  Prevención y detección del fraude y la corrupción en transferencias de efectivo en contextos urbanos</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spacing w:before="96" w:after="96"/>
              <w:rPr>
                <w:rFonts w:ascii="Arial Narrow" w:hAnsi="Arial Narrow"/>
                <w:sz w:val="22"/>
              </w:rPr>
            </w:pPr>
            <w:r>
              <w:rPr>
                <w:rFonts w:ascii="Arial Narrow" w:hAnsi="Arial Narrow"/>
                <w:sz w:val="22"/>
                <w:lang w:val="es-ES"/>
              </w:rPr>
              <w:t>Poder realizar un análisis de riesgos de un proyecto que integre transferencias de efectivo y aportar ejemplos concretos sobre la forma de elaborar herramientas "a prueba de fraudes".</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10"/>
              </w:numPr>
              <w:ind w:hanging="360"/>
              <w:rPr>
                <w:rFonts w:ascii="Arial Narrow" w:hAnsi="Arial Narrow"/>
              </w:rPr>
            </w:pPr>
            <w:r>
              <w:rPr>
                <w:rFonts w:ascii="Arial Narrow" w:hAnsi="Arial Narrow"/>
                <w:lang w:val="es-ES"/>
              </w:rPr>
              <w:t>Inicie la discusión pidiendo a cada participante que aporte un breve ejemplo de un caso de fraude o corrupción. Indique a los participantes que clasifiquen el contexto en el que están trabajando como uno con riesgo alto, riesgo intermedio o riesgo bajo de que exista corrupción.</w:t>
            </w:r>
          </w:p>
          <w:p w:rsidR="0025740E" w:rsidRDefault="00993DB4">
            <w:pPr>
              <w:pStyle w:val="ListParagraph"/>
              <w:numPr>
                <w:ilvl w:val="0"/>
                <w:numId w:val="10"/>
              </w:numPr>
              <w:ind w:hanging="360"/>
              <w:rPr>
                <w:rFonts w:ascii="Arial Narrow" w:hAnsi="Arial Narrow"/>
              </w:rPr>
            </w:pPr>
            <w:r>
              <w:rPr>
                <w:rFonts w:ascii="Arial Narrow" w:hAnsi="Arial Narrow"/>
                <w:lang w:val="es-ES"/>
              </w:rPr>
              <w:t>El facilitador o la facilitadora debería examinar el marco del análisis de riesgos en un proyecto y recalcar cuándo debería realizarse y por quién.</w:t>
            </w:r>
          </w:p>
          <w:p w:rsidR="0025740E" w:rsidRDefault="00993DB4">
            <w:pPr>
              <w:pStyle w:val="ListParagraph"/>
              <w:numPr>
                <w:ilvl w:val="0"/>
                <w:numId w:val="10"/>
              </w:numPr>
              <w:ind w:hanging="360"/>
              <w:rPr>
                <w:rFonts w:ascii="Arial Narrow" w:hAnsi="Arial Narrow"/>
              </w:rPr>
            </w:pPr>
            <w:r>
              <w:rPr>
                <w:rFonts w:ascii="Arial Narrow" w:hAnsi="Arial Narrow"/>
                <w:lang w:val="es-ES"/>
              </w:rPr>
              <w:t>El facilitador o la facilitadora debería describir un proyecto ficticio para uno de los niveles de ese marco y pedir a los participantes que trabajen con un compañero (o dos) en la realización de un análisis de riesgos para dicho proyecto.</w:t>
            </w:r>
          </w:p>
          <w:p w:rsidR="0025740E" w:rsidRDefault="00993DB4">
            <w:pPr>
              <w:pStyle w:val="ListParagraph"/>
              <w:numPr>
                <w:ilvl w:val="0"/>
                <w:numId w:val="10"/>
              </w:numPr>
              <w:ind w:hanging="360"/>
              <w:rPr>
                <w:rFonts w:ascii="Arial Narrow" w:hAnsi="Arial Narrow"/>
              </w:rPr>
            </w:pPr>
            <w:r>
              <w:rPr>
                <w:rFonts w:ascii="Arial Narrow" w:hAnsi="Arial Narrow"/>
                <w:lang w:val="es-ES"/>
              </w:rPr>
              <w:t xml:space="preserve">Repase las mejores prácticas de prevención del fraude, en especial para transferencias de efectivo.  </w:t>
            </w:r>
          </w:p>
          <w:p w:rsidR="0025740E" w:rsidRDefault="00993DB4">
            <w:pPr>
              <w:pStyle w:val="ListParagraph"/>
              <w:numPr>
                <w:ilvl w:val="0"/>
                <w:numId w:val="10"/>
              </w:numPr>
              <w:ind w:hanging="360"/>
              <w:rPr>
                <w:rFonts w:ascii="Arial Narrow" w:hAnsi="Arial Narrow"/>
              </w:rPr>
            </w:pPr>
            <w:r>
              <w:rPr>
                <w:rFonts w:ascii="Arial Narrow" w:hAnsi="Arial Narrow"/>
                <w:lang w:val="es-ES"/>
              </w:rPr>
              <w:t>Realice un test de conocimientos al finalizar para repasar los mensajes más importantes de este apartado.</w:t>
            </w:r>
          </w:p>
        </w:tc>
      </w:tr>
      <w:tr w:rsidR="0025740E">
        <w:trPr>
          <w:cantSplit/>
          <w:trHeight w:val="336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jc w:val="both"/>
              <w:rPr>
                <w:rFonts w:ascii="Arial Narrow" w:hAnsi="Arial Narrow"/>
                <w:sz w:val="22"/>
              </w:rPr>
            </w:pPr>
            <w:r>
              <w:rPr>
                <w:rFonts w:ascii="Arial Narrow" w:hAnsi="Arial Narrow"/>
                <w:sz w:val="22"/>
                <w:lang w:val="es-ES"/>
              </w:rPr>
              <w:t>1,5 horas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Temática 8:  Seguimiento y evaluación de proyectos urbanos que integren transferencias de efectivo</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rPr>
                <w:rFonts w:ascii="Arial Narrow" w:hAnsi="Arial Narrow"/>
              </w:rPr>
            </w:pPr>
            <w:r>
              <w:rPr>
                <w:rFonts w:ascii="Arial Narrow" w:hAnsi="Arial Narrow"/>
                <w:lang w:val="es-ES"/>
              </w:rPr>
              <w:t>Entender los estándares mínimos de un seguimiento de transferencias de efectivo en contextos urbanos que sea acorde con las mejores prácticas.</w:t>
            </w:r>
          </w:p>
          <w:p w:rsidR="0025740E" w:rsidRDefault="0025740E">
            <w:pPr>
              <w:rPr>
                <w:rFonts w:ascii="Arial Narrow" w:hAnsi="Arial Narrow"/>
              </w:rPr>
            </w:pPr>
          </w:p>
          <w:p w:rsidR="0025740E" w:rsidRDefault="00993DB4">
            <w:pPr>
              <w:rPr>
                <w:rFonts w:ascii="Arial Narrow" w:hAnsi="Arial Narrow"/>
              </w:rPr>
            </w:pPr>
            <w:r>
              <w:rPr>
                <w:rFonts w:ascii="Arial Narrow" w:hAnsi="Arial Narrow"/>
                <w:lang w:val="es-ES"/>
              </w:rPr>
              <w:t>Demostrar que se conocen los principios de evaluación y los criterios específicos a evaluar en un programa urbano que integre transferencias de efectivo.</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11"/>
              </w:numPr>
              <w:ind w:hanging="360"/>
              <w:rPr>
                <w:rFonts w:ascii="Arial Narrow" w:hAnsi="Arial Narrow"/>
              </w:rPr>
            </w:pPr>
            <w:r>
              <w:rPr>
                <w:rFonts w:ascii="Arial Narrow" w:hAnsi="Arial Narrow"/>
                <w:lang w:val="es-ES"/>
              </w:rPr>
              <w:t>Exponga los principales pasos para diseñar un plan de seguimiento y unas herramientas que resulten adecuados para contextos urbanos, en concreto, que aprovechen el uso de tecnología y hagan un seguimiento de problemas urbanos en vez de rurales.</w:t>
            </w:r>
          </w:p>
          <w:p w:rsidR="0025740E" w:rsidRDefault="00993DB4">
            <w:pPr>
              <w:pStyle w:val="ListParagraph"/>
              <w:numPr>
                <w:ilvl w:val="0"/>
                <w:numId w:val="11"/>
              </w:numPr>
              <w:ind w:hanging="360"/>
              <w:rPr>
                <w:rFonts w:ascii="Arial Narrow" w:hAnsi="Arial Narrow"/>
              </w:rPr>
            </w:pPr>
            <w:r>
              <w:rPr>
                <w:rFonts w:ascii="Arial Narrow" w:hAnsi="Arial Narrow"/>
                <w:lang w:val="es-ES"/>
              </w:rPr>
              <w:t>Haga una representación por roles del uso de las dos formas de seguimiento (las entrevistas en persona y las comprobaciones rápidas a través de teléfonos móviles). Comente con el grupo las ventajas y los inconvenientes de cada una de ellas, así como las situaciones en las que puede ser mejor utilizar una u otra.</w:t>
            </w:r>
          </w:p>
          <w:p w:rsidR="0025740E" w:rsidRDefault="00993DB4">
            <w:pPr>
              <w:pStyle w:val="ListParagraph"/>
              <w:numPr>
                <w:ilvl w:val="0"/>
                <w:numId w:val="11"/>
              </w:numPr>
              <w:ind w:hanging="360"/>
              <w:rPr>
                <w:rFonts w:ascii="Arial Narrow" w:hAnsi="Arial Narrow"/>
              </w:rPr>
            </w:pPr>
            <w:r>
              <w:rPr>
                <w:rFonts w:ascii="Arial Narrow" w:hAnsi="Arial Narrow"/>
                <w:lang w:val="es-ES"/>
              </w:rPr>
              <w:t>Se debe comprender cómo adoptar medidas adecuadas con respecto a los problemas clave que se hayan descubierto a raíz de la labor de seguimiento.</w:t>
            </w:r>
          </w:p>
          <w:p w:rsidR="0025740E" w:rsidRDefault="00993DB4">
            <w:pPr>
              <w:pStyle w:val="ListParagraph"/>
              <w:numPr>
                <w:ilvl w:val="0"/>
                <w:numId w:val="11"/>
              </w:numPr>
              <w:ind w:hanging="360"/>
              <w:rPr>
                <w:rFonts w:ascii="Arial Narrow" w:hAnsi="Arial Narrow"/>
              </w:rPr>
            </w:pPr>
            <w:r>
              <w:rPr>
                <w:rFonts w:ascii="Arial Narrow" w:hAnsi="Arial Narrow"/>
                <w:lang w:val="es-ES"/>
              </w:rPr>
              <w:t>Realice una puesta en común de los temas que deberían incluirse en la evaluación de las transferencias de efectivo y destaque los que resulten especialmente importantes para un contexto urbano, como la evaluación del efecto del programa a distintos niveles (población urbana, barrios, grupos de medios de vida) para disociar los problemas humanitarios clave que se hayan abordado durante su aplicación.</w:t>
            </w:r>
          </w:p>
        </w:tc>
      </w:tr>
      <w:tr w:rsidR="0025740E">
        <w:trPr>
          <w:cantSplit/>
          <w:trHeight w:val="1400"/>
        </w:trPr>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jc w:val="both"/>
              <w:rPr>
                <w:rFonts w:ascii="Arial Narrow" w:hAnsi="Arial Narrow"/>
                <w:sz w:val="22"/>
              </w:rPr>
            </w:pPr>
            <w:r>
              <w:rPr>
                <w:rFonts w:ascii="Arial Narrow" w:hAnsi="Arial Narrow"/>
                <w:sz w:val="22"/>
                <w:lang w:val="es-ES"/>
              </w:rPr>
              <w:lastRenderedPageBreak/>
              <w:t>30 minutos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Heading11"/>
              <w:spacing w:before="96" w:after="96"/>
              <w:rPr>
                <w:rFonts w:ascii="Arial Narrow" w:hAnsi="Arial Narrow"/>
                <w:sz w:val="22"/>
              </w:rPr>
            </w:pPr>
            <w:r>
              <w:rPr>
                <w:rFonts w:ascii="Arial Narrow" w:hAnsi="Arial Narrow"/>
                <w:sz w:val="22"/>
                <w:lang w:val="es-ES"/>
              </w:rPr>
              <w:t>Repaso y conclusión</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A6A4C">
            <w:pPr>
              <w:spacing w:before="96" w:after="96"/>
              <w:rPr>
                <w:rFonts w:ascii="Arial Narrow" w:hAnsi="Arial Narrow"/>
                <w:sz w:val="22"/>
              </w:rPr>
            </w:pPr>
            <w:r>
              <w:rPr>
                <w:rFonts w:ascii="Arial Narrow" w:hAnsi="Arial Narrow"/>
                <w:sz w:val="22"/>
                <w:lang w:val="es-ES"/>
              </w:rPr>
              <w:t>Hacer una</w:t>
            </w:r>
            <w:r w:rsidR="00993DB4">
              <w:rPr>
                <w:rFonts w:ascii="Arial Narrow" w:hAnsi="Arial Narrow"/>
                <w:sz w:val="22"/>
                <w:lang w:val="es-ES"/>
              </w:rPr>
              <w:t xml:space="preserve"> recapitulación de los módulos presentados y de los objetivos de aprendizaje más importantes.</w:t>
            </w:r>
          </w:p>
        </w:tc>
        <w:tc>
          <w:tcPr>
            <w:tcW w:w="8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740E" w:rsidRDefault="00993DB4">
            <w:pPr>
              <w:pStyle w:val="ListParagraph"/>
              <w:numPr>
                <w:ilvl w:val="0"/>
                <w:numId w:val="12"/>
              </w:numPr>
              <w:ind w:hanging="360"/>
              <w:rPr>
                <w:rFonts w:ascii="Arial Narrow" w:hAnsi="Arial Narrow"/>
              </w:rPr>
            </w:pPr>
            <w:r>
              <w:rPr>
                <w:rFonts w:ascii="Arial Narrow" w:hAnsi="Arial Narrow"/>
                <w:lang w:val="es-ES"/>
              </w:rPr>
              <w:t>Dé indicaciones a los participantes para acceder al manual de forma electrónica y, en particular, a las herramientas descargables.</w:t>
            </w:r>
          </w:p>
          <w:p w:rsidR="0025740E" w:rsidRDefault="00993DB4">
            <w:pPr>
              <w:pStyle w:val="ListParagraph"/>
              <w:numPr>
                <w:ilvl w:val="0"/>
                <w:numId w:val="12"/>
              </w:numPr>
              <w:ind w:hanging="360"/>
              <w:rPr>
                <w:rFonts w:ascii="Arial Narrow" w:hAnsi="Arial Narrow"/>
              </w:rPr>
            </w:pPr>
            <w:r>
              <w:rPr>
                <w:rFonts w:ascii="Arial Narrow" w:hAnsi="Arial Narrow"/>
                <w:lang w:val="es-ES"/>
              </w:rPr>
              <w:t>Aliéntelos a que consulten con más detenimiento tanto el manual como otras publicaciones que resulten especialmente pertinentes para los problemas clave del contexto en el que estén trabajando.</w:t>
            </w:r>
          </w:p>
          <w:p w:rsidR="0025740E" w:rsidRDefault="00993DB4">
            <w:pPr>
              <w:pStyle w:val="ListParagraph"/>
              <w:numPr>
                <w:ilvl w:val="0"/>
                <w:numId w:val="12"/>
              </w:numPr>
              <w:ind w:hanging="360"/>
              <w:rPr>
                <w:rFonts w:ascii="Arial Narrow" w:hAnsi="Arial Narrow"/>
              </w:rPr>
            </w:pPr>
            <w:proofErr w:type="spellStart"/>
            <w:r>
              <w:rPr>
                <w:rFonts w:ascii="Arial Narrow" w:hAnsi="Arial Narrow"/>
                <w:lang w:val="es-ES"/>
              </w:rPr>
              <w:t>CaLP</w:t>
            </w:r>
            <w:proofErr w:type="spellEnd"/>
            <w:r>
              <w:rPr>
                <w:rFonts w:ascii="Arial Narrow" w:hAnsi="Arial Narrow"/>
                <w:lang w:val="es-ES"/>
              </w:rPr>
              <w:t xml:space="preserve"> anima a que se aporten comentarios y promueve una comunidad de aprendizaje. Únanse al grupo de discusión en </w:t>
            </w:r>
            <w:hyperlink r:id="rId7" w:history="1">
              <w:r>
                <w:rPr>
                  <w:rStyle w:val="Hyperlink1"/>
                  <w:rFonts w:ascii="Arial Narrow" w:hAnsi="Arial Narrow"/>
                  <w:sz w:val="24"/>
                  <w:lang w:val="es-ES"/>
                </w:rPr>
                <w:t>www.cashlearning.org</w:t>
              </w:r>
            </w:hyperlink>
            <w:r>
              <w:rPr>
                <w:rFonts w:ascii="Arial Narrow" w:hAnsi="Arial Narrow"/>
                <w:lang w:val="es-ES"/>
              </w:rPr>
              <w:t xml:space="preserve"> y envíe sus comentarios sobre este manual al equipo del </w:t>
            </w:r>
            <w:proofErr w:type="spellStart"/>
            <w:r>
              <w:rPr>
                <w:rFonts w:ascii="Arial Narrow" w:hAnsi="Arial Narrow"/>
                <w:lang w:val="es-ES"/>
              </w:rPr>
              <w:t>CaLP</w:t>
            </w:r>
            <w:proofErr w:type="spellEnd"/>
            <w:r>
              <w:rPr>
                <w:rFonts w:ascii="Arial Narrow" w:hAnsi="Arial Narrow"/>
                <w:lang w:val="es-ES"/>
              </w:rPr>
              <w:t>.</w:t>
            </w:r>
          </w:p>
        </w:tc>
      </w:tr>
    </w:tbl>
    <w:p w:rsidR="00993DB4" w:rsidRDefault="00993DB4">
      <w:pPr>
        <w:rPr>
          <w:rFonts w:eastAsia="Times New Roman"/>
          <w:color w:val="auto"/>
          <w:sz w:val="20"/>
        </w:rPr>
      </w:pPr>
    </w:p>
    <w:sectPr w:rsidR="00993DB4" w:rsidSect="0025740E">
      <w:headerReference w:type="even" r:id="rId8"/>
      <w:headerReference w:type="default" r:id="rId9"/>
      <w:footerReference w:type="even" r:id="rId10"/>
      <w:footerReference w:type="default" r:id="rId11"/>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B4" w:rsidRDefault="00993DB4">
      <w:r>
        <w:separator/>
      </w:r>
    </w:p>
  </w:endnote>
  <w:endnote w:type="continuationSeparator" w:id="0">
    <w:p w:rsidR="00993DB4" w:rsidRDefault="0099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Italic">
    <w:panose1 w:val="020F05020202040A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E" w:rsidRDefault="0025740E">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E" w:rsidRDefault="0025740E">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B4" w:rsidRDefault="00993DB4">
      <w:r>
        <w:separator/>
      </w:r>
    </w:p>
  </w:footnote>
  <w:footnote w:type="continuationSeparator" w:id="0">
    <w:p w:rsidR="00993DB4" w:rsidRDefault="00993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E" w:rsidRDefault="00993DB4">
    <w:pPr>
      <w:pStyle w:val="Header1"/>
      <w:rPr>
        <w:rFonts w:eastAsia="Times New Roman"/>
        <w:color w:val="auto"/>
        <w:sz w:val="20"/>
      </w:rPr>
    </w:pPr>
    <w:r>
      <w:rPr>
        <w:sz w:val="18"/>
        <w:lang w:val="es-ES"/>
      </w:rPr>
      <w:t>Anexo: Manual para contextos urbanos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E" w:rsidRDefault="00993DB4">
    <w:pPr>
      <w:pStyle w:val="Header1"/>
      <w:rPr>
        <w:rFonts w:eastAsia="Times New Roman"/>
        <w:color w:val="auto"/>
        <w:sz w:val="20"/>
      </w:rPr>
    </w:pPr>
    <w:r>
      <w:rPr>
        <w:sz w:val="18"/>
        <w:lang w:val="es-ES"/>
      </w:rPr>
      <w:t>Anexo: Manual para contextos urbanos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1080"/>
      </w:pPr>
      <w:rPr>
        <w:rFonts w:ascii="Wingdings" w:eastAsia="ヒラギノ角ゴ Pro W3" w:hAnsi="Wingdings"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suff w:val="nothing"/>
      <w:lvlText w:val="·"/>
      <w:lvlJc w:val="left"/>
      <w:pPr>
        <w:ind w:left="0" w:firstLine="360"/>
      </w:pPr>
      <w:rPr>
        <w:rFonts w:hint="default"/>
        <w:color w:val="000000"/>
        <w:position w:val="0"/>
        <w:sz w:val="24"/>
      </w:rPr>
    </w:lvl>
    <w:lvl w:ilv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1080"/>
      </w:pPr>
      <w:rPr>
        <w:rFonts w:ascii="Wingdings" w:eastAsia="ヒラギノ角ゴ Pro W3" w:hAnsi="Wingdings"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8">
    <w:nsid w:val="00000009"/>
    <w:multiLevelType w:val="multilevel"/>
    <w:tmpl w:val="894EE87B"/>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1">
    <w:nsid w:val="0000000C"/>
    <w:multiLevelType w:val="multilevel"/>
    <w:tmpl w:val="894EE87E"/>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B701E"/>
    <w:rsid w:val="0025740E"/>
    <w:rsid w:val="00993DB4"/>
    <w:rsid w:val="009A6A4C"/>
    <w:rsid w:val="00BB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5740E"/>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25740E"/>
    <w:pPr>
      <w:tabs>
        <w:tab w:val="center" w:pos="4680"/>
        <w:tab w:val="right" w:pos="9360"/>
      </w:tabs>
    </w:pPr>
    <w:rPr>
      <w:rFonts w:eastAsia="ヒラギノ角ゴ Pro W3"/>
      <w:color w:val="000000"/>
      <w:sz w:val="24"/>
      <w:lang w:val="en-GB"/>
    </w:rPr>
  </w:style>
  <w:style w:type="paragraph" w:customStyle="1" w:styleId="FreeFormA">
    <w:name w:val="Free Form A"/>
    <w:rsid w:val="0025740E"/>
    <w:pPr>
      <w:spacing w:after="200" w:line="276" w:lineRule="auto"/>
    </w:pPr>
    <w:rPr>
      <w:rFonts w:ascii="Calibri" w:eastAsia="ヒラギノ角ゴ Pro W3" w:hAnsi="Calibri"/>
      <w:color w:val="000000"/>
      <w:sz w:val="22"/>
    </w:rPr>
  </w:style>
  <w:style w:type="paragraph" w:customStyle="1" w:styleId="Heading11">
    <w:name w:val="Heading 11"/>
    <w:next w:val="Normal"/>
    <w:rsid w:val="0025740E"/>
    <w:pPr>
      <w:keepNext/>
      <w:outlineLvl w:val="0"/>
    </w:pPr>
    <w:rPr>
      <w:rFonts w:ascii="Arial Bold" w:eastAsia="ヒラギノ角ゴ Pro W3" w:hAnsi="Arial Bold"/>
      <w:color w:val="000000"/>
      <w:sz w:val="24"/>
      <w:lang w:val="en-GB"/>
    </w:rPr>
  </w:style>
  <w:style w:type="paragraph" w:styleId="ListParagraph">
    <w:name w:val="List Paragraph"/>
    <w:qFormat/>
    <w:rsid w:val="0025740E"/>
    <w:pPr>
      <w:ind w:left="720"/>
    </w:pPr>
    <w:rPr>
      <w:rFonts w:eastAsia="ヒラギノ角ゴ Pro W3"/>
      <w:color w:val="000000"/>
      <w:sz w:val="24"/>
      <w:lang w:val="en-GB"/>
    </w:rPr>
  </w:style>
  <w:style w:type="character" w:customStyle="1" w:styleId="Hyperlink1">
    <w:name w:val="Hyperlink1"/>
    <w:rsid w:val="0025740E"/>
    <w:rPr>
      <w:color w:val="002BE1"/>
      <w:sz w:val="22"/>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hlearn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Tiare</dc:creator>
  <cp:keywords/>
  <cp:lastModifiedBy>IS Department</cp:lastModifiedBy>
  <cp:revision>2</cp:revision>
  <dcterms:created xsi:type="dcterms:W3CDTF">2015-12-14T12:01:00Z</dcterms:created>
  <dcterms:modified xsi:type="dcterms:W3CDTF">2015-12-14T12:01:00Z</dcterms:modified>
</cp:coreProperties>
</file>