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9" w:rsidRDefault="005A62E9" w:rsidP="005A62E9">
      <w:pPr>
        <w:pStyle w:val="Annexheading1"/>
        <w:numPr>
          <w:ilvl w:val="0"/>
          <w:numId w:val="0"/>
        </w:numPr>
        <w:ind w:left="720" w:hanging="720"/>
      </w:pPr>
      <w:bookmarkStart w:id="0" w:name="_Toc282442083"/>
      <w:r>
        <w:rPr>
          <w:bCs/>
          <w:lang w:val="es-ES"/>
        </w:rPr>
        <w:t>Términos de referencia para la evaluación de un programa que integre transferencias de efectivo en una zona urbana</w:t>
      </w:r>
    </w:p>
    <w:p w:rsidR="005A62E9" w:rsidRDefault="005A62E9" w:rsidP="005A62E9">
      <w:pPr>
        <w:pStyle w:val="Annexheading1"/>
        <w:numPr>
          <w:ilvl w:val="0"/>
          <w:numId w:val="0"/>
        </w:numPr>
        <w:ind w:left="720" w:hanging="720"/>
      </w:pPr>
      <w:r>
        <w:rPr>
          <w:bCs/>
          <w:lang w:val="es-ES"/>
        </w:rPr>
        <w:t>Contexto</w:t>
      </w:r>
      <w:bookmarkEnd w:id="0"/>
      <w:r>
        <w:rPr>
          <w:b w:val="0"/>
          <w:lang w:val="es-ES"/>
        </w:rPr>
        <w:t xml:space="preserve"> </w:t>
      </w:r>
    </w:p>
    <w:p w:rsidR="005A62E9" w:rsidRDefault="005A62E9" w:rsidP="005A62E9">
      <w:pPr>
        <w:pStyle w:val="ListParagraph"/>
        <w:numPr>
          <w:ilvl w:val="0"/>
          <w:numId w:val="9"/>
        </w:numPr>
      </w:pPr>
      <w:bookmarkStart w:id="1" w:name="_Toc282442084"/>
      <w:r>
        <w:rPr>
          <w:lang w:val="es-ES"/>
        </w:rPr>
        <w:t>Descripción del proyecto</w:t>
      </w:r>
    </w:p>
    <w:p w:rsidR="005A62E9" w:rsidRDefault="005A62E9" w:rsidP="005A62E9">
      <w:pPr>
        <w:pStyle w:val="ListParagraph"/>
        <w:numPr>
          <w:ilvl w:val="0"/>
          <w:numId w:val="9"/>
        </w:numPr>
      </w:pPr>
      <w:r>
        <w:rPr>
          <w:lang w:val="es-ES"/>
        </w:rPr>
        <w:t>Descripción de los problemas humanitarios</w:t>
      </w:r>
    </w:p>
    <w:p w:rsidR="005A62E9" w:rsidRDefault="005A62E9" w:rsidP="005A62E9">
      <w:pPr>
        <w:pStyle w:val="ListParagraph"/>
        <w:numPr>
          <w:ilvl w:val="0"/>
          <w:numId w:val="9"/>
        </w:numPr>
      </w:pPr>
      <w:r>
        <w:rPr>
          <w:lang w:val="es-ES"/>
        </w:rPr>
        <w:t>Descripción de los grupos en los que se ha centrado la intervención y datos cuantitativos sobre las personas beneficiarias</w:t>
      </w:r>
    </w:p>
    <w:p w:rsidR="005A62E9" w:rsidRDefault="005A62E9" w:rsidP="005A62E9">
      <w:pPr>
        <w:pStyle w:val="Annexheading1"/>
        <w:numPr>
          <w:ilvl w:val="0"/>
          <w:numId w:val="0"/>
        </w:numPr>
        <w:ind w:left="720" w:hanging="720"/>
      </w:pPr>
      <w:r>
        <w:rPr>
          <w:bCs/>
          <w:lang w:val="es-ES"/>
        </w:rPr>
        <w:t>Objetivo de la evaluación</w:t>
      </w:r>
      <w:bookmarkEnd w:id="1"/>
    </w:p>
    <w:p w:rsidR="005A62E9" w:rsidRDefault="005A62E9" w:rsidP="005A62E9">
      <w:r>
        <w:rPr>
          <w:lang w:val="es-ES"/>
        </w:rPr>
        <w:t>Este trabajo de consultoría se realiza siguiendo las directrices de _____________________ y su propósito es el que se describe a continuación.</w:t>
      </w:r>
    </w:p>
    <w:p w:rsidR="005A62E9" w:rsidRDefault="005A62E9" w:rsidP="005A62E9"/>
    <w:p w:rsidR="005A62E9" w:rsidRDefault="005A62E9" w:rsidP="005A62E9">
      <w:pPr>
        <w:pStyle w:val="BodyText1"/>
        <w:ind w:left="360"/>
        <w:jc w:val="left"/>
        <w:rPr>
          <w:bCs/>
          <w:color w:val="000000"/>
        </w:rPr>
      </w:pPr>
      <w:r>
        <w:rPr>
          <w:color w:val="000000"/>
          <w:lang w:val="es-ES"/>
        </w:rPr>
        <w:t>a) Evaluar la medida en la que la iniciativa ha cumplido su objetivo:</w:t>
      </w:r>
    </w:p>
    <w:p w:rsidR="005A62E9" w:rsidRDefault="005A62E9" w:rsidP="005A62E9">
      <w:pPr>
        <w:pStyle w:val="BodyText1"/>
        <w:numPr>
          <w:ilvl w:val="0"/>
          <w:numId w:val="3"/>
        </w:numPr>
        <w:jc w:val="left"/>
        <w:rPr>
          <w:bCs/>
          <w:color w:val="000000"/>
        </w:rPr>
      </w:pPr>
      <w:r>
        <w:rPr>
          <w:color w:val="000000"/>
          <w:lang w:val="es-ES"/>
        </w:rPr>
        <w:t>las personas beneficiarias a las que ha ayudado la iniciativa eran las más vulnerables, y</w:t>
      </w:r>
    </w:p>
    <w:p w:rsidR="005A62E9" w:rsidRDefault="005A62E9" w:rsidP="005A62E9">
      <w:pPr>
        <w:pStyle w:val="BodyText1"/>
        <w:numPr>
          <w:ilvl w:val="0"/>
          <w:numId w:val="3"/>
        </w:numPr>
        <w:jc w:val="left"/>
        <w:rPr>
          <w:bCs/>
          <w:color w:val="000000"/>
        </w:rPr>
      </w:pPr>
      <w:r>
        <w:rPr>
          <w:color w:val="000000"/>
          <w:lang w:val="es-ES"/>
        </w:rPr>
        <w:t>las personas beneficiarias tienen acceso a suficientes alimentos.</w:t>
      </w:r>
    </w:p>
    <w:p w:rsidR="005A62E9" w:rsidRDefault="005A62E9" w:rsidP="005A62E9">
      <w:pPr>
        <w:pStyle w:val="BodyText1"/>
        <w:ind w:left="360"/>
        <w:jc w:val="left"/>
        <w:rPr>
          <w:bCs/>
          <w:color w:val="000000"/>
        </w:rPr>
      </w:pPr>
      <w:r>
        <w:rPr>
          <w:color w:val="000000"/>
          <w:lang w:val="es-ES"/>
        </w:rPr>
        <w:t xml:space="preserve">b) Evaluar los mecanismos de aplicación de la iniciativa, examinando: </w:t>
      </w:r>
    </w:p>
    <w:p w:rsidR="005A62E9" w:rsidRDefault="005A62E9" w:rsidP="005A62E9">
      <w:pPr>
        <w:pStyle w:val="BodyText1"/>
        <w:numPr>
          <w:ilvl w:val="0"/>
          <w:numId w:val="4"/>
        </w:numPr>
        <w:jc w:val="left"/>
        <w:rPr>
          <w:bCs/>
          <w:color w:val="000000"/>
        </w:rPr>
      </w:pPr>
      <w:r>
        <w:rPr>
          <w:color w:val="000000"/>
          <w:lang w:val="es-ES"/>
        </w:rPr>
        <w:t>el mecanismo de determinación de las personas beneficiarias y la medida en la que ha resultado adecuado,</w:t>
      </w:r>
    </w:p>
    <w:p w:rsidR="005A62E9" w:rsidRDefault="005A62E9" w:rsidP="005A62E9">
      <w:pPr>
        <w:pStyle w:val="BodyText1"/>
        <w:numPr>
          <w:ilvl w:val="0"/>
          <w:numId w:val="4"/>
        </w:numPr>
        <w:jc w:val="left"/>
        <w:rPr>
          <w:bCs/>
          <w:color w:val="000000"/>
        </w:rPr>
      </w:pPr>
      <w:r>
        <w:rPr>
          <w:color w:val="000000"/>
          <w:lang w:val="es-ES"/>
        </w:rPr>
        <w:t>el modo de entrega y la medida en la que ha resultado adecuado en el contexto, así como</w:t>
      </w:r>
    </w:p>
    <w:p w:rsidR="005A62E9" w:rsidRDefault="005A62E9" w:rsidP="005A62E9">
      <w:pPr>
        <w:pStyle w:val="BodyText1"/>
        <w:numPr>
          <w:ilvl w:val="0"/>
          <w:numId w:val="4"/>
        </w:numPr>
        <w:jc w:val="left"/>
        <w:rPr>
          <w:bCs/>
          <w:color w:val="000000"/>
        </w:rPr>
      </w:pPr>
      <w:r>
        <w:rPr>
          <w:color w:val="000000"/>
          <w:lang w:val="es-ES"/>
        </w:rPr>
        <w:t>la eficacia y la oportunidad del proceso de aplicación de la iniciativa.</w:t>
      </w:r>
    </w:p>
    <w:p w:rsidR="005A62E9" w:rsidRDefault="005A62E9" w:rsidP="005A62E9">
      <w:pPr>
        <w:pStyle w:val="BodyText1"/>
        <w:ind w:left="360"/>
        <w:jc w:val="left"/>
        <w:rPr>
          <w:bCs/>
          <w:color w:val="000000"/>
        </w:rPr>
      </w:pPr>
      <w:r>
        <w:rPr>
          <w:color w:val="000000"/>
          <w:lang w:val="es-ES"/>
        </w:rPr>
        <w:t xml:space="preserve">c) Evaluar el impacto general que la iniciativa ha tenido tanto en los hogares como en la comunidad, incluido sobre la seguridad alimentaria, la diversidad nutricional y el uso de estrategias de afrontamiento negativas de los hogares. </w:t>
      </w:r>
    </w:p>
    <w:p w:rsidR="005A62E9" w:rsidRDefault="005A62E9" w:rsidP="005A62E9">
      <w:pPr>
        <w:pStyle w:val="BodyText1"/>
        <w:ind w:left="360"/>
        <w:jc w:val="left"/>
        <w:rPr>
          <w:bCs/>
          <w:color w:val="000000"/>
        </w:rPr>
      </w:pPr>
      <w:r>
        <w:rPr>
          <w:color w:val="000000"/>
          <w:lang w:val="es-ES"/>
        </w:rPr>
        <w:t>d) Evaluar la medida en la que la intervención ante la crisis alimentaria ha incorporado las recomendaciones de iniciativas previas con transferencias de efectivo puestas en práctica por la ONG.</w:t>
      </w:r>
    </w:p>
    <w:p w:rsidR="005A62E9" w:rsidRDefault="005A62E9" w:rsidP="005A62E9">
      <w:pPr>
        <w:pStyle w:val="Annexheading1"/>
        <w:numPr>
          <w:ilvl w:val="0"/>
          <w:numId w:val="0"/>
        </w:numPr>
        <w:ind w:left="720" w:hanging="720"/>
      </w:pPr>
      <w:bookmarkStart w:id="2" w:name="_Toc282442085"/>
      <w:r>
        <w:rPr>
          <w:bCs/>
          <w:lang w:val="es-ES"/>
        </w:rPr>
        <w:t>Preguntas para la evaluación</w:t>
      </w:r>
      <w:bookmarkEnd w:id="2"/>
    </w:p>
    <w:p w:rsidR="005A62E9" w:rsidRDefault="005A62E9" w:rsidP="005A62E9">
      <w:pPr>
        <w:pStyle w:val="BodyText1"/>
      </w:pPr>
      <w:r>
        <w:rPr>
          <w:lang w:val="es-ES"/>
        </w:rPr>
        <w:t>Durante las fases iniciales de la evaluación (véase más abajo) se desarrollarán hipótesis de evaluación más precisas, pero resulta práctico plantear una serie de preguntas e hipótesis de trabajo que luego se vayan perfeccionando.  Las preguntas esenciales (los principales aspectos enumerados anteriormente) se centrarán en torno a las siguientes cuestiones.</w:t>
      </w:r>
    </w:p>
    <w:p w:rsidR="005A62E9" w:rsidRDefault="005A62E9" w:rsidP="005A62E9">
      <w:pPr>
        <w:pStyle w:val="Numberedparagraph"/>
      </w:pPr>
      <w:r>
        <w:rPr>
          <w:lang w:val="es-ES"/>
        </w:rPr>
        <w:t>Impacto en los hogares y la comunidad</w:t>
      </w:r>
    </w:p>
    <w:p w:rsidR="005A62E9" w:rsidRDefault="005A62E9" w:rsidP="005A62E9">
      <w:pPr>
        <w:pStyle w:val="Numberedparagraph"/>
        <w:numPr>
          <w:ilvl w:val="1"/>
          <w:numId w:val="5"/>
        </w:numPr>
      </w:pPr>
      <w:r>
        <w:rPr>
          <w:lang w:val="es-ES"/>
        </w:rPr>
        <w:lastRenderedPageBreak/>
        <w:t>Las personas beneficiarias tienen acceso a suficientes alimentos (objetivo principal)</w:t>
      </w:r>
    </w:p>
    <w:p w:rsidR="005A62E9" w:rsidRDefault="005A62E9" w:rsidP="005A62E9">
      <w:pPr>
        <w:pStyle w:val="Numberedparagraph"/>
        <w:numPr>
          <w:ilvl w:val="1"/>
          <w:numId w:val="5"/>
        </w:numPr>
      </w:pPr>
      <w:r>
        <w:rPr>
          <w:lang w:val="es-ES"/>
        </w:rPr>
        <w:t>Seguridad alimentaria de los hogares</w:t>
      </w:r>
    </w:p>
    <w:p w:rsidR="005A62E9" w:rsidRDefault="005A62E9" w:rsidP="005A62E9">
      <w:pPr>
        <w:pStyle w:val="Numberedparagraph"/>
        <w:numPr>
          <w:ilvl w:val="1"/>
          <w:numId w:val="5"/>
        </w:numPr>
      </w:pPr>
      <w:r>
        <w:rPr>
          <w:lang w:val="es-ES"/>
        </w:rPr>
        <w:t>Diversidad nutricional</w:t>
      </w:r>
    </w:p>
    <w:p w:rsidR="005A62E9" w:rsidRDefault="005A62E9" w:rsidP="005A62E9">
      <w:pPr>
        <w:pStyle w:val="Numberedparagraph"/>
        <w:numPr>
          <w:ilvl w:val="1"/>
          <w:numId w:val="5"/>
        </w:numPr>
      </w:pPr>
      <w:r>
        <w:rPr>
          <w:lang w:val="es-ES"/>
        </w:rPr>
        <w:t>Estrategias de afrontamiento negativas</w:t>
      </w:r>
    </w:p>
    <w:p w:rsidR="005A62E9" w:rsidRDefault="005A62E9" w:rsidP="005A62E9">
      <w:pPr>
        <w:pStyle w:val="Numberedparagraph"/>
        <w:numPr>
          <w:ilvl w:val="1"/>
          <w:numId w:val="5"/>
        </w:numPr>
      </w:pPr>
      <w:r>
        <w:rPr>
          <w:lang w:val="es-ES"/>
        </w:rPr>
        <w:t>Otros efectos (previstos o no)</w:t>
      </w:r>
    </w:p>
    <w:p w:rsidR="005A62E9" w:rsidRDefault="005A62E9" w:rsidP="005A62E9">
      <w:pPr>
        <w:pStyle w:val="Numberedparagraph"/>
      </w:pPr>
      <w:r>
        <w:rPr>
          <w:lang w:val="es-ES"/>
        </w:rPr>
        <w:t>Aplicación de la iniciativa</w:t>
      </w:r>
    </w:p>
    <w:p w:rsidR="005A62E9" w:rsidRDefault="005A62E9" w:rsidP="005A62E9">
      <w:pPr>
        <w:pStyle w:val="Numberedparagraph"/>
        <w:numPr>
          <w:ilvl w:val="1"/>
          <w:numId w:val="5"/>
        </w:numPr>
      </w:pPr>
      <w:r>
        <w:rPr>
          <w:lang w:val="es-ES"/>
        </w:rPr>
        <w:t>Mecanismo de determinación de las personas beneficiarias para centrarse en los hogares más vulnerables</w:t>
      </w:r>
    </w:p>
    <w:p w:rsidR="005A62E9" w:rsidRDefault="005A62E9" w:rsidP="005A62E9">
      <w:pPr>
        <w:pStyle w:val="Numberedparagraph"/>
        <w:numPr>
          <w:ilvl w:val="1"/>
          <w:numId w:val="5"/>
        </w:numPr>
      </w:pPr>
      <w:r>
        <w:rPr>
          <w:lang w:val="es-ES"/>
        </w:rPr>
        <w:t xml:space="preserve">Mecanismo de entrega </w:t>
      </w:r>
    </w:p>
    <w:p w:rsidR="005A62E9" w:rsidRDefault="005A62E9" w:rsidP="005A62E9">
      <w:pPr>
        <w:pStyle w:val="Numberedparagraph"/>
        <w:numPr>
          <w:ilvl w:val="1"/>
          <w:numId w:val="5"/>
        </w:numPr>
      </w:pPr>
      <w:r>
        <w:rPr>
          <w:lang w:val="es-ES"/>
        </w:rPr>
        <w:t>Eficacia y oportunidad</w:t>
      </w:r>
    </w:p>
    <w:p w:rsidR="005A62E9" w:rsidRDefault="005A62E9" w:rsidP="005A62E9">
      <w:pPr>
        <w:pStyle w:val="Numberedparagraph"/>
      </w:pPr>
      <w:r>
        <w:rPr>
          <w:lang w:val="es-ES"/>
        </w:rPr>
        <w:t>Utilización de recomendaciones previas</w:t>
      </w:r>
    </w:p>
    <w:p w:rsidR="005A62E9" w:rsidRDefault="005A62E9" w:rsidP="005A62E9">
      <w:pPr>
        <w:pStyle w:val="BodyText1"/>
      </w:pPr>
      <w:r>
        <w:rPr>
          <w:lang w:val="es-ES"/>
        </w:rPr>
        <w:t>Esta propuesta establece unas preguntas que se abordarán mediante una investigación cualitativa.  No se entregarán, por tanto, mediciones antropométricas con respecto a la nutrición, análisis estadísticos sobre pobreza de consumo (para identificar a las personas más pobres) o datos cuantitativos sobre los efectos relativos del efectivo o los alimentos.  Por el contrario, la evaluación abordará estas cuestiones a partir de la percepción y la información proporcionadas por las personas sobre si se han logrado los efectos pretendidos, se han cumplido los objetivos y las distribuciones han sido pertinentes, eficaces y útiles.</w:t>
      </w:r>
    </w:p>
    <w:p w:rsidR="005A62E9" w:rsidRDefault="005A62E9" w:rsidP="005A62E9">
      <w:pPr>
        <w:pStyle w:val="Annexheading2"/>
        <w:numPr>
          <w:ilvl w:val="0"/>
          <w:numId w:val="0"/>
        </w:numPr>
        <w:ind w:left="720" w:hanging="720"/>
      </w:pPr>
      <w:r>
        <w:rPr>
          <w:bCs/>
          <w:lang w:val="es-ES"/>
        </w:rPr>
        <w:t>Impacto</w:t>
      </w:r>
    </w:p>
    <w:p w:rsidR="005A62E9" w:rsidRDefault="005A62E9" w:rsidP="005A62E9">
      <w:pPr>
        <w:pStyle w:val="BodyText1"/>
      </w:pPr>
      <w:r>
        <w:rPr>
          <w:lang w:val="es-ES"/>
        </w:rPr>
        <w:t>En este momento, el principal impacto que se espera causar solo está definido en líneas generales.  Será necesario contar con una definición más precisa, que se concretará mediante conversaciones con el equipo sobre el terreno.  A continuación, se detallan las definiciones y los supuestos de trabajo que se van a emplear.</w:t>
      </w:r>
    </w:p>
    <w:p w:rsidR="005A62E9" w:rsidRDefault="005A62E9" w:rsidP="005A62E9">
      <w:pPr>
        <w:pStyle w:val="ListNumber1"/>
        <w:numPr>
          <w:ilvl w:val="0"/>
          <w:numId w:val="6"/>
        </w:numPr>
        <w:tabs>
          <w:tab w:val="left" w:pos="720"/>
        </w:tabs>
      </w:pPr>
      <w:r>
        <w:rPr>
          <w:b/>
          <w:bCs/>
          <w:lang w:val="es-ES"/>
        </w:rPr>
        <w:t>Consumo de una cantidad suficiente de alimentos.</w:t>
      </w:r>
      <w:r>
        <w:rPr>
          <w:lang w:val="es-ES"/>
        </w:rPr>
        <w:t xml:space="preserve">  Una "cantidad suficiente de alimentos" supone que el hogar puede obtener (mediante la compra, el trabajo, la producción o el intercambio) una cantidad de alimentos que cubra la ingesta calórica diaria que requiere</w:t>
      </w:r>
      <w:r w:rsidR="007500AC">
        <w:rPr>
          <w:lang w:val="es-ES"/>
        </w:rPr>
        <w:t>n todos los miembros del hogar.</w:t>
      </w:r>
      <w:r>
        <w:rPr>
          <w:lang w:val="es-ES"/>
        </w:rPr>
        <w:t xml:space="preserve"> En ausencia de mediciones calóricas, este parámetro se medirá preguntando a los miembros del hogar si alguna vez se han ido a la cama con hambre y si alguna vez han tenido que eliminar alguna comida o reducir </w:t>
      </w:r>
      <w:r w:rsidR="007500AC">
        <w:rPr>
          <w:lang w:val="es-ES"/>
        </w:rPr>
        <w:t>el consumo en cualquier comida.</w:t>
      </w:r>
      <w:r>
        <w:rPr>
          <w:lang w:val="es-ES"/>
        </w:rPr>
        <w:t xml:space="preserve"> Un trabajo adicional podría desarrollar cestas normales de alimentos con cantidades adecuadas en el contexto urbano.</w:t>
      </w:r>
    </w:p>
    <w:p w:rsidR="005A62E9" w:rsidRDefault="005A62E9" w:rsidP="005A62E9">
      <w:pPr>
        <w:pStyle w:val="ListNumber1"/>
        <w:numPr>
          <w:ilvl w:val="0"/>
          <w:numId w:val="6"/>
        </w:numPr>
      </w:pPr>
      <w:r>
        <w:rPr>
          <w:b/>
          <w:bCs/>
          <w:lang w:val="es-ES"/>
        </w:rPr>
        <w:t>Seguridad alimentaria.</w:t>
      </w:r>
      <w:r>
        <w:rPr>
          <w:lang w:val="es-ES"/>
        </w:rPr>
        <w:t xml:space="preserve"> La seguridad alimentaria de los hogares sigue la misma lógica que el apartado anterior sobre la obtención de una cantidad suficiente de alimentos.  La investigación de los efectos en la seguridad alimentaria de los hogares también tendrá en cuenta el impacto de las transferencias de efectivo sobre las fuentes de alimentos de los hogares para examinar la forma en la que ha afectado a la capacidad de resiliencia </w:t>
      </w:r>
      <w:r>
        <w:rPr>
          <w:lang w:val="es-ES"/>
        </w:rPr>
        <w:lastRenderedPageBreak/>
        <w:t>de los hogares para obtener una cantidad suficiente de alimentos.  Esta evaluación examinará si los hogares han diversificado sus fuentes de alimentos o si las fuentes con las que ya contaban se han vuelto más fiables como consecuencia de las transferencias.</w:t>
      </w:r>
    </w:p>
    <w:p w:rsidR="005A62E9" w:rsidRDefault="005A62E9" w:rsidP="005A62E9">
      <w:pPr>
        <w:pStyle w:val="ListNumber1"/>
        <w:numPr>
          <w:ilvl w:val="0"/>
          <w:numId w:val="6"/>
        </w:numPr>
      </w:pPr>
      <w:r>
        <w:rPr>
          <w:b/>
          <w:bCs/>
          <w:lang w:val="es-ES"/>
        </w:rPr>
        <w:t>Diversidad nutricional</w:t>
      </w:r>
      <w:r w:rsidR="007500AC">
        <w:rPr>
          <w:lang w:val="es-ES"/>
        </w:rPr>
        <w:t>.</w:t>
      </w:r>
      <w:r>
        <w:rPr>
          <w:lang w:val="es-ES"/>
        </w:rPr>
        <w:t xml:space="preserve"> Este aspecto de la evaluación se capta mejor a través de un trabajo cuantitativo, pero el aspecto cualitativo de la evaluación hará preguntas sobre la forma en la que los hogares entienden la diversidad nutricional, su percepción sobre la importancia de la diversidad nutricional y si las personas que han recibido la transferencia sienten que esta ha contribuido a su diversidad nutricional.</w:t>
      </w:r>
    </w:p>
    <w:p w:rsidR="005A62E9" w:rsidRDefault="005A62E9" w:rsidP="005A62E9">
      <w:pPr>
        <w:pStyle w:val="ListNumber1"/>
        <w:numPr>
          <w:ilvl w:val="0"/>
          <w:numId w:val="6"/>
        </w:numPr>
      </w:pPr>
      <w:r>
        <w:rPr>
          <w:b/>
          <w:bCs/>
          <w:lang w:val="es-ES"/>
        </w:rPr>
        <w:t>Estrategias de afrontamiento negativas</w:t>
      </w:r>
      <w:r w:rsidR="007500AC">
        <w:rPr>
          <w:lang w:val="es-ES"/>
        </w:rPr>
        <w:t>.</w:t>
      </w:r>
      <w:r>
        <w:rPr>
          <w:lang w:val="es-ES"/>
        </w:rPr>
        <w:t xml:space="preserve"> En el apartado dedicado al contexto, se han expuesto varias estrategias de afrontamiento negativas, incluidas la reducción del consumo y la adopción de medios de vida peligrosos, así como la retir</w:t>
      </w:r>
      <w:r w:rsidR="007500AC">
        <w:rPr>
          <w:lang w:val="es-ES"/>
        </w:rPr>
        <w:t>ada de los niños de la escuela.</w:t>
      </w:r>
      <w:r>
        <w:rPr>
          <w:lang w:val="es-ES"/>
        </w:rPr>
        <w:t xml:space="preserve"> La evaluación cualitativa examinará si los hogares consideran que han adoptado estrategias de medios de vida que hubieran preferido no adoptar, las razones por las que hubieran preferido evitarlas y si la transferencia de efectivo les ha ayudado a reducir su exposición a esas estrategias.  Resulta improbable que la evaluación desvele problemas en torno a la práctica de sexo transaccional, ya que es inusual y de todos modos las personas entrevistadas no siempre son sinceras al respecto.</w:t>
      </w:r>
    </w:p>
    <w:p w:rsidR="005A62E9" w:rsidRDefault="005A62E9" w:rsidP="005A62E9">
      <w:pPr>
        <w:pStyle w:val="ListNumber1"/>
        <w:numPr>
          <w:ilvl w:val="0"/>
          <w:numId w:val="6"/>
        </w:numPr>
      </w:pPr>
      <w:r>
        <w:rPr>
          <w:b/>
          <w:bCs/>
          <w:lang w:val="es-ES"/>
        </w:rPr>
        <w:t>Otros impactos</w:t>
      </w:r>
      <w:r w:rsidR="007500AC">
        <w:rPr>
          <w:lang w:val="es-ES"/>
        </w:rPr>
        <w:t>.</w:t>
      </w:r>
      <w:r>
        <w:rPr>
          <w:lang w:val="es-ES"/>
        </w:rPr>
        <w:t xml:space="preserve"> La evaluación cualitativa preguntará a las personas beneficiarias si creen que la transferencia ha tenido otros impactos, ya sean positivos o negativos.  Dos cuestiones potencialmente importantes son el efecto de la transferencia sobre las redes sociales (por que se hayan generado envidia o cambios en los patrones a la hora de compartir) y la educación.  En zonas urbanas, es improbable que las transferencias a esta escala afecten a los precios.</w:t>
      </w:r>
    </w:p>
    <w:p w:rsidR="005A62E9" w:rsidRDefault="005A62E9" w:rsidP="005A62E9">
      <w:pPr>
        <w:pStyle w:val="ListNumber1"/>
        <w:numPr>
          <w:ilvl w:val="0"/>
          <w:numId w:val="0"/>
        </w:numPr>
        <w:tabs>
          <w:tab w:val="left" w:pos="720"/>
        </w:tabs>
        <w:ind w:left="720"/>
      </w:pPr>
    </w:p>
    <w:p w:rsidR="005A62E9" w:rsidRDefault="005A62E9" w:rsidP="005A62E9">
      <w:pPr>
        <w:pStyle w:val="Annexheading2"/>
        <w:numPr>
          <w:ilvl w:val="0"/>
          <w:numId w:val="0"/>
        </w:numPr>
        <w:ind w:left="720" w:hanging="720"/>
      </w:pPr>
      <w:r>
        <w:rPr>
          <w:bCs/>
          <w:lang w:val="es-ES"/>
        </w:rPr>
        <w:t>Aplicación de la iniciativa</w:t>
      </w:r>
    </w:p>
    <w:p w:rsidR="005A62E9" w:rsidRDefault="005A62E9" w:rsidP="005A62E9">
      <w:pPr>
        <w:pStyle w:val="ListNumber1"/>
        <w:numPr>
          <w:ilvl w:val="0"/>
          <w:numId w:val="7"/>
        </w:numPr>
      </w:pPr>
      <w:r>
        <w:rPr>
          <w:b/>
          <w:bCs/>
          <w:lang w:val="es-ES"/>
        </w:rPr>
        <w:t>Determinación de personas beneficiarias</w:t>
      </w:r>
      <w:r w:rsidR="007500AC">
        <w:rPr>
          <w:lang w:val="es-ES"/>
        </w:rPr>
        <w:t>.</w:t>
      </w:r>
      <w:r>
        <w:rPr>
          <w:lang w:val="es-ES"/>
        </w:rPr>
        <w:t xml:space="preserve"> El propósito de las transferencias es que ayuden </w:t>
      </w:r>
      <w:r w:rsidR="007500AC">
        <w:rPr>
          <w:lang w:val="es-ES"/>
        </w:rPr>
        <w:t>a las personas más vulnerables.</w:t>
      </w:r>
      <w:r>
        <w:rPr>
          <w:lang w:val="es-ES"/>
        </w:rPr>
        <w:t xml:space="preserve"> El análisis del proceso de determinación de las personas beneficiarias se dividirá en una evaluación del diseño de la iniciativa y otra de su aplicación en lo que se refiere a errores de inclusión (la cantidad de personas que han recibido la ayuda pero no cumplían los requisitos del grupo al que se pretendía destinar), errores de exclusión (la cantidad de personas que no han recibido la ayuda pero sí cumplían los requisitos del grupo al que se pretendía destinar) e inclusiones y exclusiones dinámicas (la cantidad de personas que han entrado y salido de estas cat</w:t>
      </w:r>
      <w:r w:rsidR="007500AC">
        <w:rPr>
          <w:lang w:val="es-ES"/>
        </w:rPr>
        <w:t>egorías durante la iniciativa).</w:t>
      </w:r>
      <w:r>
        <w:rPr>
          <w:lang w:val="es-ES"/>
        </w:rPr>
        <w:t xml:space="preserve"> El diseño se analizará revisando la documentación del programa y evaluando los errores probables en una aplicación perfecta.  La aplicación de la iniciativa se analizará mediante la evaluación, basada en trabajo de campo, de los errores reales (que, a continuación, se pueden desglosar en los debidos al diseño y los debidos a la aplicación).</w:t>
      </w:r>
    </w:p>
    <w:p w:rsidR="005A62E9" w:rsidRDefault="005A62E9" w:rsidP="005A62E9">
      <w:pPr>
        <w:pStyle w:val="ListNumber1"/>
        <w:numPr>
          <w:ilvl w:val="0"/>
          <w:numId w:val="0"/>
        </w:numPr>
        <w:tabs>
          <w:tab w:val="left" w:pos="720"/>
        </w:tabs>
        <w:ind w:left="720"/>
      </w:pPr>
    </w:p>
    <w:p w:rsidR="005A62E9" w:rsidRDefault="005A62E9" w:rsidP="005A62E9">
      <w:pPr>
        <w:pStyle w:val="ListNumber1"/>
        <w:numPr>
          <w:ilvl w:val="0"/>
          <w:numId w:val="0"/>
        </w:numPr>
        <w:tabs>
          <w:tab w:val="left" w:pos="720"/>
        </w:tabs>
        <w:ind w:left="720"/>
      </w:pPr>
      <w:r>
        <w:rPr>
          <w:lang w:val="es-ES"/>
        </w:rPr>
        <w:t>La evaluación cualitativa no tratará de proporcionar números exactos para los errores de inclusión y de exclusión, pero sí identificará las posibles categorías de ambos, así como factores q</w:t>
      </w:r>
      <w:r w:rsidR="007500AC">
        <w:rPr>
          <w:lang w:val="es-ES"/>
        </w:rPr>
        <w:t>ue probablemente los provoquen.</w:t>
      </w:r>
      <w:r>
        <w:rPr>
          <w:lang w:val="es-ES"/>
        </w:rPr>
        <w:t xml:space="preserve"> Asimismo, aportará las percepciones sobre el diseño y la aplicación de la iniciativa que tengan tanto las personas beneficiarias como las no beneficiarias, en lo que respecta al grado de implicación de la comunidad, la pertinencia dados los objetivos y la eficacia (tiempo requerido para participar).</w:t>
      </w:r>
    </w:p>
    <w:p w:rsidR="005A62E9" w:rsidRDefault="005A62E9" w:rsidP="005A62E9">
      <w:pPr>
        <w:pStyle w:val="ListNumber1"/>
        <w:numPr>
          <w:ilvl w:val="0"/>
          <w:numId w:val="0"/>
        </w:numPr>
        <w:tabs>
          <w:tab w:val="left" w:pos="720"/>
        </w:tabs>
        <w:ind w:left="2337" w:hanging="357"/>
      </w:pPr>
    </w:p>
    <w:p w:rsidR="005A62E9" w:rsidRDefault="005A62E9" w:rsidP="005A62E9">
      <w:pPr>
        <w:pStyle w:val="BodyText1"/>
        <w:numPr>
          <w:ilvl w:val="0"/>
          <w:numId w:val="7"/>
        </w:numPr>
      </w:pPr>
      <w:r>
        <w:rPr>
          <w:b/>
          <w:bCs/>
          <w:lang w:val="es-ES"/>
        </w:rPr>
        <w:t>Distribución</w:t>
      </w:r>
      <w:r w:rsidR="007500AC">
        <w:rPr>
          <w:b/>
          <w:bCs/>
          <w:lang w:val="es-ES"/>
        </w:rPr>
        <w:t>.</w:t>
      </w:r>
      <w:r w:rsidR="007500AC">
        <w:rPr>
          <w:lang w:val="es-ES"/>
        </w:rPr>
        <w:t xml:space="preserve"> </w:t>
      </w:r>
      <w:r>
        <w:rPr>
          <w:lang w:val="es-ES"/>
        </w:rPr>
        <w:t xml:space="preserve">¿El sistema de transferencia resulta adecuado para el contexto?  El mecanismo de distribución se examinará fundamentalmente con respecto a las percepciones de las personas beneficiarias (y de las no beneficiarias).  Se puede afirmar que un mecanismo de distribución es eficaz cuando las personas beneficiarias dicen preferirlo a otros métodos.  </w:t>
      </w:r>
    </w:p>
    <w:p w:rsidR="005A62E9" w:rsidRDefault="007500AC" w:rsidP="005A62E9">
      <w:pPr>
        <w:pStyle w:val="BodyText1"/>
        <w:numPr>
          <w:ilvl w:val="0"/>
          <w:numId w:val="7"/>
        </w:numPr>
        <w:rPr>
          <w:b/>
        </w:rPr>
      </w:pPr>
      <w:r>
        <w:rPr>
          <w:b/>
          <w:bCs/>
          <w:lang w:val="es-ES"/>
        </w:rPr>
        <w:t>Eficacia y oportunidad.</w:t>
      </w:r>
      <w:r w:rsidR="005A62E9">
        <w:rPr>
          <w:b/>
          <w:bCs/>
          <w:lang w:val="es-ES"/>
        </w:rPr>
        <w:t xml:space="preserve"> </w:t>
      </w:r>
      <w:r w:rsidR="005A62E9">
        <w:rPr>
          <w:lang w:val="es-ES"/>
        </w:rPr>
        <w:t>La evaluación cualitativa analizará también si la iniciativa se ha puesto en práctica de una forma eficaz y oportuna.  Para ello, se examinarán las desviaciones con respecto a la aplicación planificada, si las transferencias se distribuyeron conforme a un calendario adecuado, la estacionalidad de las transferencias, así como otras cuestiones surgidas del trabajo con socios colaboradores y en el proceso de transferencia.  En concreto, se examinará la responsabilidad de los socios colaboradores en la selección, el seguimiento tras la distribución y la gestión de los expedientes de los participantes.</w:t>
      </w:r>
    </w:p>
    <w:p w:rsidR="005A62E9" w:rsidRDefault="005A62E9" w:rsidP="005A62E9">
      <w:pPr>
        <w:pStyle w:val="Annexheading2"/>
        <w:numPr>
          <w:ilvl w:val="0"/>
          <w:numId w:val="0"/>
        </w:numPr>
        <w:ind w:left="720" w:hanging="720"/>
      </w:pPr>
      <w:r>
        <w:rPr>
          <w:bCs/>
          <w:lang w:val="es-ES"/>
        </w:rPr>
        <w:t>Utilización de las evaluaciones previas</w:t>
      </w:r>
    </w:p>
    <w:p w:rsidR="005A62E9" w:rsidRDefault="005A62E9" w:rsidP="005A62E9">
      <w:pPr>
        <w:pStyle w:val="BodyText1"/>
      </w:pPr>
      <w:r>
        <w:rPr>
          <w:lang w:val="es-ES"/>
        </w:rPr>
        <w:t xml:space="preserve">Este apartado revisará brevemente el diseño del programa y las directrices para su aplicación con el propósito de verificar si se han incorporado las recomendaciones de evaluaciones previas.  </w:t>
      </w:r>
    </w:p>
    <w:p w:rsidR="005A62E9" w:rsidRDefault="005A62E9" w:rsidP="005A62E9">
      <w:pPr>
        <w:pStyle w:val="BodyText1"/>
        <w:numPr>
          <w:ilvl w:val="0"/>
          <w:numId w:val="9"/>
        </w:numPr>
      </w:pPr>
      <w:r>
        <w:rPr>
          <w:lang w:val="es-ES"/>
        </w:rPr>
        <w:t>Listado de evaluaciones previas</w:t>
      </w:r>
    </w:p>
    <w:p w:rsidR="00CE5DCC" w:rsidRDefault="00CE5DCC"/>
    <w:sectPr w:rsidR="00CE5DCC" w:rsidSect="00A660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50" w:rsidRDefault="00EA2850" w:rsidP="005A62E9">
      <w:r>
        <w:separator/>
      </w:r>
    </w:p>
  </w:endnote>
  <w:endnote w:type="continuationSeparator" w:id="0">
    <w:p w:rsidR="00EA2850" w:rsidRDefault="00EA2850" w:rsidP="005A62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9" w:rsidRDefault="005A62E9">
    <w:pPr>
      <w:pStyle w:val="Footer"/>
    </w:pPr>
    <w:r>
      <w:rPr>
        <w:lang w:val="es-ES"/>
      </w:rPr>
      <w:t>Adaptado del programa puesto en práctica en Nairobi por Concern Worldwide.</w:t>
    </w:r>
  </w:p>
  <w:p w:rsidR="005A62E9" w:rsidRDefault="005A6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50" w:rsidRDefault="00EA2850" w:rsidP="005A62E9">
      <w:r>
        <w:separator/>
      </w:r>
    </w:p>
  </w:footnote>
  <w:footnote w:type="continuationSeparator" w:id="0">
    <w:p w:rsidR="00EA2850" w:rsidRDefault="00EA2850" w:rsidP="005A6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9" w:rsidRDefault="005A62E9">
    <w:pPr>
      <w:pStyle w:val="Header"/>
    </w:pPr>
    <w:r>
      <w:rPr>
        <w:lang w:val="es-ES"/>
      </w:rPr>
      <w:t>Manual para contextos urbanos</w:t>
    </w:r>
    <w:r>
      <w:rPr>
        <w:lang w:val="es-ES"/>
      </w:rPr>
      <w:tab/>
    </w:r>
    <w:r>
      <w:rPr>
        <w:lang w:val="es-ES"/>
      </w:rPr>
      <w:ptab w:relativeTo="margin" w:alignment="center" w:leader="none"/>
    </w:r>
    <w:r>
      <w:rPr>
        <w:lang w:val="es-ES"/>
      </w:rPr>
      <w:ptab w:relativeTo="margin" w:alignment="right" w:leader="none"/>
    </w:r>
    <w:r>
      <w:rPr>
        <w:lang w:val="es-ES"/>
      </w:rPr>
      <w:t>Anexo: Herramienta 19</w:t>
    </w:r>
  </w:p>
  <w:p w:rsidR="005A62E9" w:rsidRDefault="005A62E9">
    <w:pPr>
      <w:pStyle w:val="Header"/>
    </w:pPr>
    <w:r>
      <w:rPr>
        <w:lang w:val="es-ES"/>
      </w:rPr>
      <w:tab/>
    </w:r>
    <w:r>
      <w:rPr>
        <w:lang w:val="es-ES"/>
      </w:rPr>
      <w:tab/>
      <w:t>Términos de referencia para la evaluación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98A"/>
    <w:multiLevelType w:val="hybridMultilevel"/>
    <w:tmpl w:val="38AC7D10"/>
    <w:lvl w:ilvl="0" w:tplc="B2308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C4F52"/>
    <w:multiLevelType w:val="hybridMultilevel"/>
    <w:tmpl w:val="9402867C"/>
    <w:lvl w:ilvl="0" w:tplc="8F16D1A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151531"/>
    <w:multiLevelType w:val="hybridMultilevel"/>
    <w:tmpl w:val="46DE176A"/>
    <w:lvl w:ilvl="0" w:tplc="CFAA2870">
      <w:start w:val="1"/>
      <w:numFmt w:val="decimal"/>
      <w:pStyle w:val="ListNumber1"/>
      <w:lvlText w:val="%1."/>
      <w:lvlJc w:val="left"/>
      <w:pPr>
        <w:tabs>
          <w:tab w:val="num" w:pos="357"/>
        </w:tabs>
        <w:ind w:left="357" w:hanging="357"/>
      </w:pPr>
      <w:rPr>
        <w:rFonts w:cs="Times New Roman"/>
      </w:rPr>
    </w:lvl>
    <w:lvl w:ilvl="1" w:tplc="08090019">
      <w:start w:val="1"/>
      <w:numFmt w:val="lowerLetter"/>
      <w:lvlText w:val="%2."/>
      <w:lvlJc w:val="left"/>
      <w:pPr>
        <w:tabs>
          <w:tab w:val="num" w:pos="1440"/>
        </w:tabs>
        <w:ind w:left="1440" w:hanging="360"/>
      </w:pPr>
      <w:rPr>
        <w:rFonts w:cs="Times New Roman"/>
      </w:rPr>
    </w:lvl>
    <w:lvl w:ilvl="2" w:tplc="CFAA2870">
      <w:start w:val="1"/>
      <w:numFmt w:val="decimal"/>
      <w:pStyle w:val="ListNumber1"/>
      <w:lvlText w:val="%3."/>
      <w:lvlJc w:val="left"/>
      <w:pPr>
        <w:tabs>
          <w:tab w:val="num" w:pos="2337"/>
        </w:tabs>
        <w:ind w:left="2337" w:hanging="357"/>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4ACC448A"/>
    <w:multiLevelType w:val="hybridMultilevel"/>
    <w:tmpl w:val="4CF4BB44"/>
    <w:lvl w:ilvl="0" w:tplc="3D1E16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1F2431"/>
    <w:multiLevelType w:val="hybridMultilevel"/>
    <w:tmpl w:val="B29C9C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5D5849B0"/>
    <w:multiLevelType w:val="hybridMultilevel"/>
    <w:tmpl w:val="66B25884"/>
    <w:lvl w:ilvl="0" w:tplc="4538FC0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A905810"/>
    <w:multiLevelType w:val="hybridMultilevel"/>
    <w:tmpl w:val="29A4D870"/>
    <w:lvl w:ilvl="0" w:tplc="8F16D1A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3850C8"/>
    <w:multiLevelType w:val="hybridMultilevel"/>
    <w:tmpl w:val="310CE8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2F85424"/>
    <w:multiLevelType w:val="multilevel"/>
    <w:tmpl w:val="6A78F5B0"/>
    <w:lvl w:ilvl="0">
      <w:start w:val="1"/>
      <w:numFmt w:val="upperLetter"/>
      <w:pStyle w:val="Annextitle"/>
      <w:lvlText w:val="Anexo %1"/>
      <w:lvlJc w:val="left"/>
      <w:pPr>
        <w:tabs>
          <w:tab w:val="num" w:pos="1710"/>
        </w:tabs>
        <w:ind w:left="1710" w:hanging="360"/>
      </w:pPr>
      <w:rPr>
        <w:rFonts w:cs="Times New Roman"/>
      </w:rPr>
    </w:lvl>
    <w:lvl w:ilvl="1">
      <w:start w:val="1"/>
      <w:numFmt w:val="decimal"/>
      <w:pStyle w:val="Annexheading1"/>
      <w:lvlText w:val="%1.%2"/>
      <w:lvlJc w:val="left"/>
      <w:pPr>
        <w:tabs>
          <w:tab w:val="num" w:pos="720"/>
        </w:tabs>
        <w:ind w:left="720" w:hanging="720"/>
      </w:pPr>
      <w:rPr>
        <w:rFonts w:cs="Times New Roman"/>
      </w:rPr>
    </w:lvl>
    <w:lvl w:ilvl="2">
      <w:start w:val="1"/>
      <w:numFmt w:val="decimal"/>
      <w:pStyle w:val="Annexheading2"/>
      <w:lvlText w:val="%1.%2.%3"/>
      <w:lvlJc w:val="left"/>
      <w:pPr>
        <w:tabs>
          <w:tab w:val="num" w:pos="720"/>
        </w:tabs>
        <w:ind w:left="720" w:hanging="720"/>
      </w:pPr>
      <w:rPr>
        <w:rFonts w:cs="Times New Roman"/>
      </w:rPr>
    </w:lvl>
    <w:lvl w:ilvl="3">
      <w:start w:val="1"/>
      <w:numFmt w:val="decimal"/>
      <w:pStyle w:val="Annexheading3"/>
      <w:lvlText w:val="%1.%2.%3.%4"/>
      <w:lvlJc w:val="left"/>
      <w:pPr>
        <w:tabs>
          <w:tab w:val="num" w:pos="1440"/>
        </w:tabs>
        <w:ind w:left="1440" w:hanging="1440"/>
      </w:pPr>
      <w:rPr>
        <w:rFonts w:cs="Times New Roman"/>
      </w:rPr>
    </w:lvl>
    <w:lvl w:ilvl="4">
      <w:start w:val="1"/>
      <w:numFmt w:val="decimal"/>
      <w:lvlRestart w:val="0"/>
      <w:pStyle w:val="Annextable"/>
      <w:lvlText w:val="Tabla %1.%5"/>
      <w:lvlJc w:val="left"/>
      <w:pPr>
        <w:tabs>
          <w:tab w:val="num" w:pos="1440"/>
        </w:tabs>
        <w:ind w:left="1440" w:hanging="1440"/>
      </w:pPr>
      <w:rPr>
        <w:rFonts w:cs="Times New Roman"/>
      </w:rPr>
    </w:lvl>
    <w:lvl w:ilvl="5">
      <w:start w:val="1"/>
      <w:numFmt w:val="decimal"/>
      <w:lvlRestart w:val="0"/>
      <w:pStyle w:val="Annexfigure"/>
      <w:lvlText w:val="Figura %1.%6"/>
      <w:lvlJc w:val="left"/>
      <w:pPr>
        <w:tabs>
          <w:tab w:val="num" w:pos="1440"/>
        </w:tabs>
        <w:ind w:left="1440" w:hanging="1440"/>
      </w:pPr>
      <w:rPr>
        <w:rFonts w:cs="Times New Roman"/>
      </w:rPr>
    </w:lvl>
    <w:lvl w:ilvl="6">
      <w:start w:val="1"/>
      <w:numFmt w:val="decimal"/>
      <w:lvlRestart w:val="0"/>
      <w:pStyle w:val="Annexbox"/>
      <w:lvlText w:val="Recuadro %1.%7"/>
      <w:lvlJc w:val="left"/>
      <w:pPr>
        <w:tabs>
          <w:tab w:val="num" w:pos="1440"/>
        </w:tabs>
        <w:ind w:left="1440" w:hanging="14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A62E9"/>
    <w:rsid w:val="005A62E9"/>
    <w:rsid w:val="007500AC"/>
    <w:rsid w:val="007706D0"/>
    <w:rsid w:val="00A660CF"/>
    <w:rsid w:val="00CE5DCC"/>
    <w:rsid w:val="00EA2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9"/>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62E9"/>
    <w:pPr>
      <w:spacing w:after="120"/>
      <w:jc w:val="both"/>
    </w:pPr>
    <w:rPr>
      <w:sz w:val="20"/>
    </w:rPr>
  </w:style>
  <w:style w:type="character" w:customStyle="1" w:styleId="FootnoteTextChar">
    <w:name w:val="Footnote Text Char"/>
    <w:basedOn w:val="DefaultParagraphFont"/>
    <w:link w:val="FootnoteText"/>
    <w:uiPriority w:val="99"/>
    <w:semiHidden/>
    <w:rsid w:val="005A62E9"/>
    <w:rPr>
      <w:rFonts w:ascii="Arial" w:eastAsia="Times New Roman" w:hAnsi="Arial" w:cs="Times New Roman"/>
      <w:sz w:val="20"/>
      <w:szCs w:val="20"/>
      <w:lang w:val="en-GB"/>
    </w:rPr>
  </w:style>
  <w:style w:type="paragraph" w:customStyle="1" w:styleId="Annexbox">
    <w:name w:val="Annex box"/>
    <w:basedOn w:val="Normal"/>
    <w:next w:val="Normal"/>
    <w:uiPriority w:val="99"/>
    <w:rsid w:val="005A62E9"/>
    <w:pPr>
      <w:keepNext/>
      <w:numPr>
        <w:ilvl w:val="6"/>
        <w:numId w:val="1"/>
      </w:numPr>
      <w:spacing w:before="160" w:after="240"/>
      <w:ind w:right="170" w:hanging="1270"/>
      <w:outlineLvl w:val="1"/>
    </w:pPr>
    <w:rPr>
      <w:b/>
      <w:sz w:val="24"/>
    </w:rPr>
  </w:style>
  <w:style w:type="paragraph" w:customStyle="1" w:styleId="BodyText1">
    <w:name w:val="Body Text1"/>
    <w:aliases w:val="OPM,OPM + Bold,Body text"/>
    <w:basedOn w:val="Normal"/>
    <w:link w:val="BodytextChar"/>
    <w:uiPriority w:val="99"/>
    <w:rsid w:val="005A62E9"/>
    <w:pPr>
      <w:spacing w:after="240"/>
      <w:jc w:val="both"/>
    </w:pPr>
  </w:style>
  <w:style w:type="paragraph" w:customStyle="1" w:styleId="Annexfigure">
    <w:name w:val="Annex figure"/>
    <w:basedOn w:val="Normal"/>
    <w:next w:val="BodyText1"/>
    <w:uiPriority w:val="99"/>
    <w:rsid w:val="005A62E9"/>
    <w:pPr>
      <w:keepNext/>
      <w:numPr>
        <w:ilvl w:val="5"/>
        <w:numId w:val="1"/>
      </w:numPr>
      <w:spacing w:after="240"/>
      <w:outlineLvl w:val="1"/>
    </w:pPr>
    <w:rPr>
      <w:b/>
      <w:sz w:val="24"/>
    </w:rPr>
  </w:style>
  <w:style w:type="paragraph" w:customStyle="1" w:styleId="Annextable">
    <w:name w:val="Annex table"/>
    <w:basedOn w:val="Normal"/>
    <w:next w:val="BodyText1"/>
    <w:uiPriority w:val="99"/>
    <w:rsid w:val="005A62E9"/>
    <w:pPr>
      <w:keepNext/>
      <w:numPr>
        <w:ilvl w:val="4"/>
        <w:numId w:val="1"/>
      </w:numPr>
      <w:spacing w:after="240"/>
      <w:outlineLvl w:val="1"/>
    </w:pPr>
    <w:rPr>
      <w:b/>
      <w:sz w:val="24"/>
    </w:rPr>
  </w:style>
  <w:style w:type="paragraph" w:customStyle="1" w:styleId="Annexheading3">
    <w:name w:val="Annex heading 3"/>
    <w:basedOn w:val="Normal"/>
    <w:next w:val="BodyText1"/>
    <w:uiPriority w:val="99"/>
    <w:rsid w:val="005A62E9"/>
    <w:pPr>
      <w:keepNext/>
      <w:numPr>
        <w:ilvl w:val="3"/>
        <w:numId w:val="1"/>
      </w:numPr>
      <w:spacing w:after="60"/>
      <w:outlineLvl w:val="3"/>
    </w:pPr>
    <w:rPr>
      <w:b/>
    </w:rPr>
  </w:style>
  <w:style w:type="paragraph" w:customStyle="1" w:styleId="Annexheading2">
    <w:name w:val="Annex heading 2"/>
    <w:basedOn w:val="Normal"/>
    <w:next w:val="BodyText1"/>
    <w:uiPriority w:val="99"/>
    <w:rsid w:val="005A62E9"/>
    <w:pPr>
      <w:keepNext/>
      <w:numPr>
        <w:ilvl w:val="2"/>
        <w:numId w:val="1"/>
      </w:numPr>
      <w:spacing w:before="160" w:after="240"/>
      <w:outlineLvl w:val="2"/>
    </w:pPr>
    <w:rPr>
      <w:b/>
      <w:kern w:val="32"/>
      <w:sz w:val="24"/>
    </w:rPr>
  </w:style>
  <w:style w:type="paragraph" w:customStyle="1" w:styleId="Annexheading1">
    <w:name w:val="Annex heading 1"/>
    <w:basedOn w:val="Normal"/>
    <w:next w:val="BodyText1"/>
    <w:uiPriority w:val="99"/>
    <w:rsid w:val="005A62E9"/>
    <w:pPr>
      <w:keepNext/>
      <w:numPr>
        <w:ilvl w:val="1"/>
        <w:numId w:val="1"/>
      </w:numPr>
      <w:spacing w:before="240" w:after="240"/>
      <w:outlineLvl w:val="1"/>
    </w:pPr>
    <w:rPr>
      <w:b/>
      <w:sz w:val="28"/>
    </w:rPr>
  </w:style>
  <w:style w:type="paragraph" w:customStyle="1" w:styleId="Annextitle">
    <w:name w:val="Annex title"/>
    <w:basedOn w:val="Normal"/>
    <w:next w:val="Annexheading1"/>
    <w:uiPriority w:val="99"/>
    <w:rsid w:val="005A62E9"/>
    <w:pPr>
      <w:keepNext/>
      <w:pageBreakBefore/>
      <w:numPr>
        <w:numId w:val="1"/>
      </w:numPr>
      <w:tabs>
        <w:tab w:val="clear" w:pos="1710"/>
        <w:tab w:val="left" w:pos="1701"/>
      </w:tabs>
      <w:spacing w:after="400"/>
      <w:ind w:left="1701" w:hanging="1701"/>
      <w:outlineLvl w:val="0"/>
    </w:pPr>
    <w:rPr>
      <w:b/>
      <w:kern w:val="32"/>
      <w:sz w:val="32"/>
    </w:rPr>
  </w:style>
  <w:style w:type="character" w:customStyle="1" w:styleId="BodytextChar">
    <w:name w:val="Body text Char"/>
    <w:aliases w:val="OPM Char1,Body Text Char2,OPM Char,Body Text Char21"/>
    <w:link w:val="BodyText1"/>
    <w:uiPriority w:val="99"/>
    <w:locked/>
    <w:rsid w:val="005A62E9"/>
    <w:rPr>
      <w:rFonts w:ascii="Arial" w:eastAsia="Times New Roman" w:hAnsi="Arial" w:cs="Times New Roman"/>
      <w:szCs w:val="20"/>
      <w:lang w:val="en-GB"/>
    </w:rPr>
  </w:style>
  <w:style w:type="paragraph" w:customStyle="1" w:styleId="Tablenotes">
    <w:name w:val="Table notes"/>
    <w:basedOn w:val="Normal"/>
    <w:next w:val="BodyText1"/>
    <w:uiPriority w:val="99"/>
    <w:rsid w:val="005A62E9"/>
    <w:pPr>
      <w:spacing w:after="240"/>
      <w:jc w:val="both"/>
    </w:pPr>
    <w:rPr>
      <w:sz w:val="18"/>
    </w:rPr>
  </w:style>
  <w:style w:type="paragraph" w:customStyle="1" w:styleId="ListNumber1">
    <w:name w:val="List Number1"/>
    <w:basedOn w:val="Normal"/>
    <w:uiPriority w:val="99"/>
    <w:rsid w:val="005A62E9"/>
    <w:pPr>
      <w:numPr>
        <w:ilvl w:val="2"/>
        <w:numId w:val="2"/>
      </w:numPr>
      <w:spacing w:after="60"/>
      <w:jc w:val="both"/>
    </w:pPr>
  </w:style>
  <w:style w:type="paragraph" w:customStyle="1" w:styleId="Numberedparagraph">
    <w:name w:val="Numbered paragraph"/>
    <w:basedOn w:val="Normal"/>
    <w:uiPriority w:val="99"/>
    <w:rsid w:val="005A62E9"/>
    <w:pPr>
      <w:tabs>
        <w:tab w:val="left" w:pos="1077"/>
      </w:tabs>
      <w:spacing w:after="240"/>
      <w:ind w:left="720" w:hanging="360"/>
      <w:jc w:val="both"/>
    </w:pPr>
  </w:style>
  <w:style w:type="character" w:styleId="FootnoteReference">
    <w:name w:val="footnote reference"/>
    <w:basedOn w:val="DefaultParagraphFont"/>
    <w:uiPriority w:val="99"/>
    <w:semiHidden/>
    <w:unhideWhenUsed/>
    <w:rsid w:val="005A62E9"/>
    <w:rPr>
      <w:rFonts w:ascii="Times New Roman" w:hAnsi="Times New Roman" w:cs="Times New Roman" w:hint="default"/>
      <w:vertAlign w:val="superscript"/>
    </w:rPr>
  </w:style>
  <w:style w:type="paragraph" w:styleId="Header">
    <w:name w:val="header"/>
    <w:basedOn w:val="Normal"/>
    <w:link w:val="HeaderChar"/>
    <w:uiPriority w:val="99"/>
    <w:unhideWhenUsed/>
    <w:rsid w:val="005A62E9"/>
    <w:pPr>
      <w:tabs>
        <w:tab w:val="center" w:pos="4680"/>
        <w:tab w:val="right" w:pos="9360"/>
      </w:tabs>
    </w:pPr>
  </w:style>
  <w:style w:type="character" w:customStyle="1" w:styleId="HeaderChar">
    <w:name w:val="Header Char"/>
    <w:basedOn w:val="DefaultParagraphFont"/>
    <w:link w:val="Header"/>
    <w:uiPriority w:val="99"/>
    <w:rsid w:val="005A62E9"/>
    <w:rPr>
      <w:rFonts w:ascii="Arial" w:eastAsia="Times New Roman" w:hAnsi="Arial" w:cs="Times New Roman"/>
      <w:szCs w:val="20"/>
      <w:lang w:val="en-GB"/>
    </w:rPr>
  </w:style>
  <w:style w:type="paragraph" w:styleId="Footer">
    <w:name w:val="footer"/>
    <w:basedOn w:val="Normal"/>
    <w:link w:val="FooterChar"/>
    <w:uiPriority w:val="99"/>
    <w:unhideWhenUsed/>
    <w:rsid w:val="005A62E9"/>
    <w:pPr>
      <w:tabs>
        <w:tab w:val="center" w:pos="4680"/>
        <w:tab w:val="right" w:pos="9360"/>
      </w:tabs>
    </w:pPr>
  </w:style>
  <w:style w:type="character" w:customStyle="1" w:styleId="FooterChar">
    <w:name w:val="Footer Char"/>
    <w:basedOn w:val="DefaultParagraphFont"/>
    <w:link w:val="Footer"/>
    <w:uiPriority w:val="99"/>
    <w:rsid w:val="005A62E9"/>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5A62E9"/>
    <w:rPr>
      <w:rFonts w:ascii="Tahoma" w:hAnsi="Tahoma" w:cs="Tahoma"/>
      <w:sz w:val="16"/>
      <w:szCs w:val="16"/>
    </w:rPr>
  </w:style>
  <w:style w:type="character" w:customStyle="1" w:styleId="BalloonTextChar">
    <w:name w:val="Balloon Text Char"/>
    <w:basedOn w:val="DefaultParagraphFont"/>
    <w:link w:val="BalloonText"/>
    <w:uiPriority w:val="99"/>
    <w:semiHidden/>
    <w:rsid w:val="005A62E9"/>
    <w:rPr>
      <w:rFonts w:ascii="Tahoma" w:eastAsia="Times New Roman" w:hAnsi="Tahoma" w:cs="Tahoma"/>
      <w:sz w:val="16"/>
      <w:szCs w:val="16"/>
      <w:lang w:val="en-GB"/>
    </w:rPr>
  </w:style>
  <w:style w:type="paragraph" w:styleId="ListParagraph">
    <w:name w:val="List Paragraph"/>
    <w:basedOn w:val="Normal"/>
    <w:uiPriority w:val="34"/>
    <w:qFormat/>
    <w:rsid w:val="005A6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9"/>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62E9"/>
    <w:pPr>
      <w:spacing w:after="120"/>
      <w:jc w:val="both"/>
    </w:pPr>
    <w:rPr>
      <w:sz w:val="20"/>
    </w:rPr>
  </w:style>
  <w:style w:type="character" w:customStyle="1" w:styleId="FootnoteTextChar">
    <w:name w:val="Footnote Text Char"/>
    <w:basedOn w:val="DefaultParagraphFont"/>
    <w:link w:val="FootnoteText"/>
    <w:uiPriority w:val="99"/>
    <w:semiHidden/>
    <w:rsid w:val="005A62E9"/>
    <w:rPr>
      <w:rFonts w:ascii="Arial" w:eastAsia="Times New Roman" w:hAnsi="Arial" w:cs="Times New Roman"/>
      <w:sz w:val="20"/>
      <w:szCs w:val="20"/>
      <w:lang w:val="en-GB"/>
    </w:rPr>
  </w:style>
  <w:style w:type="paragraph" w:customStyle="1" w:styleId="Annexbox">
    <w:name w:val="Annex box"/>
    <w:basedOn w:val="Normal"/>
    <w:next w:val="Normal"/>
    <w:uiPriority w:val="99"/>
    <w:rsid w:val="005A62E9"/>
    <w:pPr>
      <w:keepNext/>
      <w:numPr>
        <w:ilvl w:val="6"/>
        <w:numId w:val="1"/>
      </w:numPr>
      <w:spacing w:before="160" w:after="240"/>
      <w:ind w:right="170" w:hanging="1270"/>
      <w:outlineLvl w:val="1"/>
    </w:pPr>
    <w:rPr>
      <w:b/>
      <w:sz w:val="24"/>
    </w:rPr>
  </w:style>
  <w:style w:type="paragraph" w:customStyle="1" w:styleId="BodyText1">
    <w:name w:val="Body Text1"/>
    <w:aliases w:val="OPM,OPM + Bold,Body text"/>
    <w:basedOn w:val="Normal"/>
    <w:link w:val="BodytextChar"/>
    <w:uiPriority w:val="99"/>
    <w:rsid w:val="005A62E9"/>
    <w:pPr>
      <w:spacing w:after="240"/>
      <w:jc w:val="both"/>
    </w:pPr>
  </w:style>
  <w:style w:type="paragraph" w:customStyle="1" w:styleId="Annexfigure">
    <w:name w:val="Annex figure"/>
    <w:basedOn w:val="Normal"/>
    <w:next w:val="BodyText1"/>
    <w:uiPriority w:val="99"/>
    <w:rsid w:val="005A62E9"/>
    <w:pPr>
      <w:keepNext/>
      <w:numPr>
        <w:ilvl w:val="5"/>
        <w:numId w:val="1"/>
      </w:numPr>
      <w:spacing w:after="240"/>
      <w:outlineLvl w:val="1"/>
    </w:pPr>
    <w:rPr>
      <w:b/>
      <w:sz w:val="24"/>
    </w:rPr>
  </w:style>
  <w:style w:type="paragraph" w:customStyle="1" w:styleId="Annextable">
    <w:name w:val="Annex table"/>
    <w:basedOn w:val="Normal"/>
    <w:next w:val="BodyText1"/>
    <w:uiPriority w:val="99"/>
    <w:rsid w:val="005A62E9"/>
    <w:pPr>
      <w:keepNext/>
      <w:numPr>
        <w:ilvl w:val="4"/>
        <w:numId w:val="1"/>
      </w:numPr>
      <w:spacing w:after="240"/>
      <w:outlineLvl w:val="1"/>
    </w:pPr>
    <w:rPr>
      <w:b/>
      <w:sz w:val="24"/>
    </w:rPr>
  </w:style>
  <w:style w:type="paragraph" w:customStyle="1" w:styleId="Annexheading3">
    <w:name w:val="Annex heading 3"/>
    <w:basedOn w:val="Normal"/>
    <w:next w:val="BodyText1"/>
    <w:uiPriority w:val="99"/>
    <w:rsid w:val="005A62E9"/>
    <w:pPr>
      <w:keepNext/>
      <w:numPr>
        <w:ilvl w:val="3"/>
        <w:numId w:val="1"/>
      </w:numPr>
      <w:spacing w:after="60"/>
      <w:outlineLvl w:val="3"/>
    </w:pPr>
    <w:rPr>
      <w:b/>
    </w:rPr>
  </w:style>
  <w:style w:type="paragraph" w:customStyle="1" w:styleId="Annexheading2">
    <w:name w:val="Annex heading 2"/>
    <w:basedOn w:val="Normal"/>
    <w:next w:val="BodyText1"/>
    <w:uiPriority w:val="99"/>
    <w:rsid w:val="005A62E9"/>
    <w:pPr>
      <w:keepNext/>
      <w:numPr>
        <w:ilvl w:val="2"/>
        <w:numId w:val="1"/>
      </w:numPr>
      <w:spacing w:before="160" w:after="240"/>
      <w:outlineLvl w:val="2"/>
    </w:pPr>
    <w:rPr>
      <w:b/>
      <w:kern w:val="32"/>
      <w:sz w:val="24"/>
    </w:rPr>
  </w:style>
  <w:style w:type="paragraph" w:customStyle="1" w:styleId="Annexheading1">
    <w:name w:val="Annex heading 1"/>
    <w:basedOn w:val="Normal"/>
    <w:next w:val="BodyText1"/>
    <w:uiPriority w:val="99"/>
    <w:rsid w:val="005A62E9"/>
    <w:pPr>
      <w:keepNext/>
      <w:numPr>
        <w:ilvl w:val="1"/>
        <w:numId w:val="1"/>
      </w:numPr>
      <w:spacing w:before="240" w:after="240"/>
      <w:outlineLvl w:val="1"/>
    </w:pPr>
    <w:rPr>
      <w:b/>
      <w:sz w:val="28"/>
    </w:rPr>
  </w:style>
  <w:style w:type="paragraph" w:customStyle="1" w:styleId="Annextitle">
    <w:name w:val="Annex title"/>
    <w:basedOn w:val="Normal"/>
    <w:next w:val="Annexheading1"/>
    <w:uiPriority w:val="99"/>
    <w:rsid w:val="005A62E9"/>
    <w:pPr>
      <w:keepNext/>
      <w:pageBreakBefore/>
      <w:numPr>
        <w:numId w:val="1"/>
      </w:numPr>
      <w:tabs>
        <w:tab w:val="clear" w:pos="1710"/>
        <w:tab w:val="left" w:pos="1701"/>
      </w:tabs>
      <w:spacing w:after="400"/>
      <w:ind w:left="1701" w:hanging="1701"/>
      <w:outlineLvl w:val="0"/>
    </w:pPr>
    <w:rPr>
      <w:b/>
      <w:kern w:val="32"/>
      <w:sz w:val="32"/>
    </w:rPr>
  </w:style>
  <w:style w:type="character" w:customStyle="1" w:styleId="BodytextChar">
    <w:name w:val="Body text Char"/>
    <w:aliases w:val="OPM Char1,Body Text Char2,OPM Char,Body Text Char21"/>
    <w:link w:val="BodyText1"/>
    <w:uiPriority w:val="99"/>
    <w:locked/>
    <w:rsid w:val="005A62E9"/>
    <w:rPr>
      <w:rFonts w:ascii="Arial" w:eastAsia="Times New Roman" w:hAnsi="Arial" w:cs="Times New Roman"/>
      <w:szCs w:val="20"/>
      <w:lang w:val="en-GB"/>
    </w:rPr>
  </w:style>
  <w:style w:type="paragraph" w:customStyle="1" w:styleId="Tablenotes">
    <w:name w:val="Table notes"/>
    <w:basedOn w:val="Normal"/>
    <w:next w:val="BodyText1"/>
    <w:uiPriority w:val="99"/>
    <w:rsid w:val="005A62E9"/>
    <w:pPr>
      <w:spacing w:after="240"/>
      <w:jc w:val="both"/>
    </w:pPr>
    <w:rPr>
      <w:sz w:val="18"/>
    </w:rPr>
  </w:style>
  <w:style w:type="paragraph" w:customStyle="1" w:styleId="ListNumber1">
    <w:name w:val="List Number1"/>
    <w:basedOn w:val="Normal"/>
    <w:uiPriority w:val="99"/>
    <w:rsid w:val="005A62E9"/>
    <w:pPr>
      <w:numPr>
        <w:ilvl w:val="2"/>
        <w:numId w:val="2"/>
      </w:numPr>
      <w:spacing w:after="60"/>
      <w:jc w:val="both"/>
    </w:pPr>
  </w:style>
  <w:style w:type="paragraph" w:customStyle="1" w:styleId="Numberedparagraph">
    <w:name w:val="Numbered paragraph"/>
    <w:basedOn w:val="Normal"/>
    <w:uiPriority w:val="99"/>
    <w:rsid w:val="005A62E9"/>
    <w:pPr>
      <w:tabs>
        <w:tab w:val="left" w:pos="1077"/>
      </w:tabs>
      <w:spacing w:after="240"/>
      <w:ind w:left="720" w:hanging="360"/>
      <w:jc w:val="both"/>
    </w:pPr>
  </w:style>
  <w:style w:type="character" w:styleId="FootnoteReference">
    <w:name w:val="footnote reference"/>
    <w:basedOn w:val="DefaultParagraphFont"/>
    <w:uiPriority w:val="99"/>
    <w:semiHidden/>
    <w:unhideWhenUsed/>
    <w:rsid w:val="005A62E9"/>
    <w:rPr>
      <w:rFonts w:ascii="Times New Roman" w:hAnsi="Times New Roman" w:cs="Times New Roman" w:hint="default"/>
      <w:vertAlign w:val="superscript"/>
    </w:rPr>
  </w:style>
  <w:style w:type="paragraph" w:styleId="Header">
    <w:name w:val="header"/>
    <w:basedOn w:val="Normal"/>
    <w:link w:val="HeaderChar"/>
    <w:uiPriority w:val="99"/>
    <w:unhideWhenUsed/>
    <w:rsid w:val="005A62E9"/>
    <w:pPr>
      <w:tabs>
        <w:tab w:val="center" w:pos="4680"/>
        <w:tab w:val="right" w:pos="9360"/>
      </w:tabs>
    </w:pPr>
  </w:style>
  <w:style w:type="character" w:customStyle="1" w:styleId="HeaderChar">
    <w:name w:val="Header Char"/>
    <w:basedOn w:val="DefaultParagraphFont"/>
    <w:link w:val="Header"/>
    <w:uiPriority w:val="99"/>
    <w:rsid w:val="005A62E9"/>
    <w:rPr>
      <w:rFonts w:ascii="Arial" w:eastAsia="Times New Roman" w:hAnsi="Arial" w:cs="Times New Roman"/>
      <w:szCs w:val="20"/>
      <w:lang w:val="en-GB"/>
    </w:rPr>
  </w:style>
  <w:style w:type="paragraph" w:styleId="Footer">
    <w:name w:val="footer"/>
    <w:basedOn w:val="Normal"/>
    <w:link w:val="FooterChar"/>
    <w:uiPriority w:val="99"/>
    <w:unhideWhenUsed/>
    <w:rsid w:val="005A62E9"/>
    <w:pPr>
      <w:tabs>
        <w:tab w:val="center" w:pos="4680"/>
        <w:tab w:val="right" w:pos="9360"/>
      </w:tabs>
    </w:pPr>
  </w:style>
  <w:style w:type="character" w:customStyle="1" w:styleId="FooterChar">
    <w:name w:val="Footer Char"/>
    <w:basedOn w:val="DefaultParagraphFont"/>
    <w:link w:val="Footer"/>
    <w:uiPriority w:val="99"/>
    <w:rsid w:val="005A62E9"/>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5A62E9"/>
    <w:rPr>
      <w:rFonts w:ascii="Tahoma" w:hAnsi="Tahoma" w:cs="Tahoma"/>
      <w:sz w:val="16"/>
      <w:szCs w:val="16"/>
    </w:rPr>
  </w:style>
  <w:style w:type="character" w:customStyle="1" w:styleId="BalloonTextChar">
    <w:name w:val="Balloon Text Char"/>
    <w:basedOn w:val="DefaultParagraphFont"/>
    <w:link w:val="BalloonText"/>
    <w:uiPriority w:val="99"/>
    <w:semiHidden/>
    <w:rsid w:val="005A62E9"/>
    <w:rPr>
      <w:rFonts w:ascii="Tahoma" w:eastAsia="Times New Roman" w:hAnsi="Tahoma" w:cs="Tahoma"/>
      <w:sz w:val="16"/>
      <w:szCs w:val="16"/>
      <w:lang w:val="en-GB"/>
    </w:rPr>
  </w:style>
  <w:style w:type="paragraph" w:styleId="ListParagraph">
    <w:name w:val="List Paragraph"/>
    <w:basedOn w:val="Normal"/>
    <w:uiPriority w:val="34"/>
    <w:qFormat/>
    <w:rsid w:val="005A62E9"/>
    <w:pPr>
      <w:ind w:left="720"/>
      <w:contextualSpacing/>
    </w:pPr>
  </w:style>
</w:styles>
</file>

<file path=word/webSettings.xml><?xml version="1.0" encoding="utf-8"?>
<w:webSettings xmlns:r="http://schemas.openxmlformats.org/officeDocument/2006/relationships" xmlns:w="http://schemas.openxmlformats.org/wordprocessingml/2006/main">
  <w:divs>
    <w:div w:id="659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IS Department</cp:lastModifiedBy>
  <cp:revision>2</cp:revision>
  <dcterms:created xsi:type="dcterms:W3CDTF">2015-12-14T13:57:00Z</dcterms:created>
  <dcterms:modified xsi:type="dcterms:W3CDTF">2015-12-14T13:57:00Z</dcterms:modified>
</cp:coreProperties>
</file>