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Pr="003944F4" w:rsidRDefault="00BF55B4" w:rsidP="009032AB">
      <w:pPr>
        <w:pStyle w:val="Heading1"/>
        <w:jc w:val="center"/>
        <w:rPr>
          <w:color w:val="2F2B20" w:themeColor="text1"/>
          <w:lang w:val="es-ES"/>
        </w:rPr>
      </w:pPr>
      <w:r>
        <w:rPr>
          <w:color w:val="2F2B20" w:themeColor="text1"/>
          <w:lang w:val="es-ES"/>
        </w:rPr>
        <w:t>Modelo de formato – Evaluaciones de transferencias de efectivo en contextos urbanos</w:t>
      </w:r>
    </w:p>
    <w:p w:rsidR="00736E91" w:rsidRPr="003944F4" w:rsidRDefault="00736E91" w:rsidP="00736E91">
      <w:pPr>
        <w:rPr>
          <w:lang w:val="es-ES"/>
        </w:rPr>
      </w:pPr>
    </w:p>
    <w:p w:rsidR="00B758A5" w:rsidRPr="003944F4" w:rsidRDefault="00BF55B4" w:rsidP="009032A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Los objetivos del programa y el propósito de la evaluación van a determinar la metodología de ev</w:t>
      </w:r>
      <w:r w:rsidR="003944F4">
        <w:rPr>
          <w:rFonts w:asciiTheme="minorHAnsi" w:hAnsiTheme="minorHAnsi" w:cstheme="minorHAnsi"/>
          <w:lang w:val="es-ES"/>
        </w:rPr>
        <w:t>aluación que se quiera emplear.</w:t>
      </w:r>
      <w:r>
        <w:rPr>
          <w:rFonts w:asciiTheme="minorHAnsi" w:hAnsiTheme="minorHAnsi" w:cstheme="minorHAnsi"/>
          <w:lang w:val="es-ES"/>
        </w:rPr>
        <w:t xml:space="preserve"> Las evaluaciones de programas urbanos deberían prestar especial atención a los errores de inclusión y exclusión, así como reexaminar los niveles de vulnerabilidad entre los grupos a los que se dirige la ayuda, ya que constituyen los problemas más comunes en los programas que integran transferencias de </w:t>
      </w:r>
      <w:r w:rsidR="003944F4">
        <w:rPr>
          <w:rFonts w:asciiTheme="minorHAnsi" w:hAnsiTheme="minorHAnsi" w:cstheme="minorHAnsi"/>
          <w:lang w:val="es-ES"/>
        </w:rPr>
        <w:t xml:space="preserve">efectivo en contextos urbanos. </w:t>
      </w:r>
      <w:r>
        <w:rPr>
          <w:rFonts w:asciiTheme="minorHAnsi" w:hAnsiTheme="minorHAnsi" w:cstheme="minorHAnsi"/>
          <w:lang w:val="es-ES"/>
        </w:rPr>
        <w:t>El equipo de país puede llevar a cabo una evaluación interna al final del proyecto para garantizar que las principales lecciones aprendidas y los logros del</w:t>
      </w:r>
      <w:r w:rsidR="003944F4">
        <w:rPr>
          <w:rFonts w:asciiTheme="minorHAnsi" w:hAnsiTheme="minorHAnsi" w:cstheme="minorHAnsi"/>
          <w:lang w:val="es-ES"/>
        </w:rPr>
        <w:t xml:space="preserve"> programa queden documentados. </w:t>
      </w:r>
      <w:r>
        <w:rPr>
          <w:rFonts w:asciiTheme="minorHAnsi" w:hAnsiTheme="minorHAnsi" w:cstheme="minorHAnsi"/>
          <w:lang w:val="es-ES"/>
        </w:rPr>
        <w:t>Además, se puede realizar una evaluación externa para confirmar los logros del proyecto y aportar una perspectiva nueva al contexto.</w:t>
      </w:r>
    </w:p>
    <w:p w:rsidR="009032AB" w:rsidRPr="003944F4" w:rsidRDefault="009032AB" w:rsidP="009032AB">
      <w:pPr>
        <w:rPr>
          <w:rFonts w:asciiTheme="minorHAnsi" w:hAnsiTheme="minorHAnsi" w:cstheme="minorHAnsi"/>
          <w:lang w:val="es-ES"/>
        </w:rPr>
      </w:pPr>
    </w:p>
    <w:p w:rsidR="009032AB" w:rsidRPr="003944F4" w:rsidRDefault="009032AB" w:rsidP="009032AB">
      <w:pPr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 w:cstheme="minorHAnsi"/>
          <w:u w:val="single"/>
          <w:lang w:val="es-ES"/>
        </w:rPr>
        <w:t>Lista de temas que debe abarcar la evaluación del programa</w:t>
      </w:r>
    </w:p>
    <w:p w:rsidR="009032AB" w:rsidRPr="003944F4" w:rsidRDefault="009032AB" w:rsidP="009032AB">
      <w:pPr>
        <w:rPr>
          <w:rFonts w:asciiTheme="minorHAnsi" w:hAnsiTheme="minorHAnsi" w:cstheme="minorHAnsi"/>
          <w:lang w:val="es-ES"/>
        </w:rPr>
      </w:pPr>
    </w:p>
    <w:p w:rsidR="00DA3AF2" w:rsidRDefault="00BF55B4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Resumen de las conclusiones</w:t>
      </w:r>
    </w:p>
    <w:p w:rsidR="00BF55B4" w:rsidRDefault="00BF55B4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Contexto</w:t>
      </w:r>
    </w:p>
    <w:p w:rsidR="00BF55B4" w:rsidRDefault="00BF55B4" w:rsidP="00DA3A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Metodología</w:t>
      </w:r>
    </w:p>
    <w:p w:rsidR="00BF55B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Encuestas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Reuniones de los grupos de discusión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Entrevistas a las principales partes interesadas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 la información sobre los mercados</w:t>
      </w:r>
    </w:p>
    <w:p w:rsidR="00BF55B4" w:rsidRDefault="00BF55B4" w:rsidP="00BF5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Impacto: personas beneficiarias</w:t>
      </w:r>
    </w:p>
    <w:p w:rsidR="00BF55B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Impacto sobre las familias beneficiarias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 los cambios en los gastos de los hogares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 la utilización del efectivo/vale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 los cambios en los mecanismos de afrontamiento</w:t>
      </w:r>
    </w:p>
    <w:p w:rsidR="00BF55B4" w:rsidRDefault="00BF55B4" w:rsidP="00BF5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 Impacto: mercado y economía locales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Comerciantes/tiendas que han participado en el programa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del impacto o</w:t>
      </w:r>
      <w:r w:rsidR="00312068">
        <w:rPr>
          <w:rFonts w:asciiTheme="minorHAnsi" w:hAnsiTheme="minorHAnsi" w:cstheme="minorHAnsi"/>
          <w:lang w:val="es-ES"/>
        </w:rPr>
        <w:t xml:space="preserve"> los efectos indirectos en</w:t>
      </w:r>
      <w:r>
        <w:rPr>
          <w:rFonts w:asciiTheme="minorHAnsi" w:hAnsiTheme="minorHAnsi" w:cstheme="minorHAnsi"/>
          <w:lang w:val="es-ES"/>
        </w:rPr>
        <w:t xml:space="preserve"> los comerciantes o las tiendas que no han participado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Cantidad de efectivo</w:t>
      </w:r>
      <w:r w:rsidR="003944F4">
        <w:rPr>
          <w:rFonts w:asciiTheme="minorHAnsi" w:hAnsiTheme="minorHAnsi" w:cstheme="minorHAnsi"/>
          <w:lang w:val="es-ES"/>
        </w:rPr>
        <w:t xml:space="preserve"> inyectado en la economía local; c</w:t>
      </w:r>
      <w:r>
        <w:rPr>
          <w:rFonts w:asciiTheme="minorHAnsi" w:hAnsiTheme="minorHAnsi" w:cstheme="minorHAnsi"/>
          <w:lang w:val="es-ES"/>
        </w:rPr>
        <w:t>antidad de productos básicos comprados y su valor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¿Se han producido cambios en las cadenas de suministro?  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¿Se han restablecido las funciones del mercado?</w:t>
      </w:r>
    </w:p>
    <w:p w:rsidR="00BF55B4" w:rsidRDefault="00BF55B4" w:rsidP="00BF55B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Pertinencia</w:t>
      </w:r>
    </w:p>
    <w:p w:rsidR="00BF55B4" w:rsidRPr="003944F4" w:rsidRDefault="00BF55B4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¿Ha cumplido el proyecto sus objetivos?</w:t>
      </w:r>
    </w:p>
    <w:p w:rsidR="00BF55B4" w:rsidRPr="003944F4" w:rsidRDefault="00E07E58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¿El mecanismo de transferencia ha resultado práctico para las personas beneficiarias?</w:t>
      </w:r>
    </w:p>
    <w:p w:rsidR="00E07E58" w:rsidRPr="003944F4" w:rsidRDefault="00E07E58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¿Los beneficiarios preferían otros tipos de ayuda?</w:t>
      </w:r>
    </w:p>
    <w:p w:rsidR="00E07E58" w:rsidRPr="003944F4" w:rsidRDefault="00E07E58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¿El importe de la transferencia de efectivo o del vale ha sido suficiente para cumplir los objetivos del proyecto y cubrir las necesidades de las personas beneficiarias?</w:t>
      </w:r>
    </w:p>
    <w:p w:rsidR="00E07E58" w:rsidRPr="003944F4" w:rsidRDefault="00E07E58" w:rsidP="00BF55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¿La frecuencia de pago ha contribuido a cumplir los objetivos del proyecto?</w:t>
      </w:r>
    </w:p>
    <w:p w:rsidR="00E07E58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 Eficacia</w:t>
      </w:r>
    </w:p>
    <w:p w:rsidR="00E07E58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Rentabilidad general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 comparación con las distribuciones de ayuda en especie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 comparación con otros programas que integraban transferencias de efectivo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En comparación con otros mecanismos de transferencia (desde vales de papel hasta tarjetas electrónicas)</w:t>
      </w:r>
    </w:p>
    <w:p w:rsidR="00E07E58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 Seguimiento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¿El sistema de seguimiento ha generado la información deseada?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¿Qué acciones se rectificaron a raíz de un seguimiento riguroso?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¿Los equipos de seguimiento eran distintos de los encargados de la puesta en práctica del programa?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¿Las personas beneficiarias cumplían los criterios del proyecto?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¿La cobertura y el alcance del seguimiento eran los adecuados?</w:t>
      </w:r>
    </w:p>
    <w:p w:rsidR="00E07E58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Determinación de personas beneficiarias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Síntesis tanto de los criterios para determinar las personas beneficiarias a las que dirigir el programa como de la identificación de la/s zona/s en l</w:t>
      </w:r>
      <w:r w:rsidR="003944F4">
        <w:rPr>
          <w:rFonts w:asciiTheme="minorHAnsi" w:hAnsiTheme="minorHAnsi" w:cstheme="minorHAnsi"/>
          <w:lang w:val="es-ES"/>
        </w:rPr>
        <w:t>a/s que centrar la intervención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Errores de exclusión y sus causas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Errores de inclusión y sus causas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Análisis de las herramientas utilizadas en la determinación de las personas beneficiarias para identificar las revisi</w:t>
      </w:r>
      <w:r w:rsidR="003944F4">
        <w:rPr>
          <w:rFonts w:asciiTheme="minorHAnsi" w:hAnsiTheme="minorHAnsi" w:cstheme="minorHAnsi"/>
          <w:lang w:val="es-ES"/>
        </w:rPr>
        <w:t>ones que sea necesario realizar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Percepción de la comunidad con respecto a la determinación de las personas beneficiarias (¿la comunidad ha entendido los criterios de selección?)</w:t>
      </w:r>
    </w:p>
    <w:p w:rsidR="00E07E58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Transparencia</w:t>
      </w:r>
    </w:p>
    <w:p w:rsidR="00E07E58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Participación de la comunidad</w:t>
      </w:r>
    </w:p>
    <w:p w:rsidR="00E07E58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Intercambio y divulgación de información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Mecanismos de información y/o quejas</w:t>
      </w:r>
    </w:p>
    <w:p w:rsidR="00E07E58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Lecciones aprendidas</w:t>
      </w:r>
    </w:p>
    <w:p w:rsidR="00E07E58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Capacidad de los socios colaboradores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¿La entidad encargada de ejecutar las transferencias ha gestionado eficazmente el incremento del volumen de transacciones?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¿La organización ha establecido colaboraciones para entender mejor la vulnerabilidad y los sistemas financieros de las comunidades urbanas?</w:t>
      </w:r>
    </w:p>
    <w:p w:rsidR="00E07E58" w:rsidRPr="003944F4" w:rsidRDefault="00E07E58" w:rsidP="00E07E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Consideraciones sobre necesidades y enfoques futuros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Recomendaciones sobre los sistemas de transferencia</w:t>
      </w:r>
    </w:p>
    <w:p w:rsidR="00E07E58" w:rsidRPr="003944F4" w:rsidRDefault="00E07E58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Recomendaciones sobre las necesidades no cubiertas</w:t>
      </w:r>
    </w:p>
    <w:p w:rsidR="000F22EA" w:rsidRDefault="000F22EA" w:rsidP="00E07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Acciones futuras</w:t>
      </w:r>
    </w:p>
    <w:p w:rsidR="00E07E58" w:rsidRPr="00E07E58" w:rsidRDefault="00E07E58" w:rsidP="00E07E58">
      <w:pPr>
        <w:ind w:left="720"/>
        <w:rPr>
          <w:rFonts w:asciiTheme="minorHAnsi" w:hAnsiTheme="minorHAnsi" w:cstheme="minorHAnsi"/>
        </w:rPr>
      </w:pPr>
    </w:p>
    <w:sectPr w:rsidR="00E07E58" w:rsidRPr="00E07E58" w:rsidSect="003A2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91" w:rsidRDefault="008D7691" w:rsidP="00B577AC">
      <w:r>
        <w:separator/>
      </w:r>
    </w:p>
  </w:endnote>
  <w:endnote w:type="continuationSeparator" w:id="0">
    <w:p w:rsidR="008D7691" w:rsidRDefault="008D7691" w:rsidP="00B5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91" w:rsidRDefault="008D7691" w:rsidP="00B577AC">
      <w:r>
        <w:separator/>
      </w:r>
    </w:p>
  </w:footnote>
  <w:footnote w:type="continuationSeparator" w:id="0">
    <w:p w:rsidR="008D7691" w:rsidRDefault="008D7691" w:rsidP="00B5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21" w:rsidRPr="003944F4" w:rsidRDefault="006E4DA8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18</w:t>
    </w:r>
  </w:p>
  <w:p w:rsidR="006E4DA8" w:rsidRPr="003944F4" w:rsidRDefault="006E4DA8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  <w:t>Modelo de formato para la evaluación de programas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B95"/>
    <w:multiLevelType w:val="hybridMultilevel"/>
    <w:tmpl w:val="2AB27818"/>
    <w:lvl w:ilvl="0" w:tplc="BF1E75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E4CA7"/>
    <w:multiLevelType w:val="hybridMultilevel"/>
    <w:tmpl w:val="00D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10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7AC"/>
    <w:rsid w:val="00032A06"/>
    <w:rsid w:val="00040596"/>
    <w:rsid w:val="000425B3"/>
    <w:rsid w:val="00043A76"/>
    <w:rsid w:val="0005131B"/>
    <w:rsid w:val="0007010E"/>
    <w:rsid w:val="000C09C0"/>
    <w:rsid w:val="000C619A"/>
    <w:rsid w:val="000F22EA"/>
    <w:rsid w:val="001224F2"/>
    <w:rsid w:val="00183D97"/>
    <w:rsid w:val="001A0282"/>
    <w:rsid w:val="00263153"/>
    <w:rsid w:val="002E2139"/>
    <w:rsid w:val="00312068"/>
    <w:rsid w:val="003432DC"/>
    <w:rsid w:val="003944F4"/>
    <w:rsid w:val="003A22E1"/>
    <w:rsid w:val="003A6A13"/>
    <w:rsid w:val="00450F6D"/>
    <w:rsid w:val="004A1AA5"/>
    <w:rsid w:val="004E6903"/>
    <w:rsid w:val="00506418"/>
    <w:rsid w:val="00545EA3"/>
    <w:rsid w:val="00587D94"/>
    <w:rsid w:val="005D47C2"/>
    <w:rsid w:val="006337A5"/>
    <w:rsid w:val="0066767C"/>
    <w:rsid w:val="006A45B0"/>
    <w:rsid w:val="006B2688"/>
    <w:rsid w:val="006C4ED2"/>
    <w:rsid w:val="006E0B5B"/>
    <w:rsid w:val="006E4DA8"/>
    <w:rsid w:val="00707B24"/>
    <w:rsid w:val="0071138E"/>
    <w:rsid w:val="00736E91"/>
    <w:rsid w:val="00737560"/>
    <w:rsid w:val="0077209D"/>
    <w:rsid w:val="007C1441"/>
    <w:rsid w:val="007C5ABC"/>
    <w:rsid w:val="008534E7"/>
    <w:rsid w:val="00885316"/>
    <w:rsid w:val="00896B55"/>
    <w:rsid w:val="008D7691"/>
    <w:rsid w:val="008E2213"/>
    <w:rsid w:val="008E59F4"/>
    <w:rsid w:val="009032AB"/>
    <w:rsid w:val="00906DFD"/>
    <w:rsid w:val="00943513"/>
    <w:rsid w:val="009754BF"/>
    <w:rsid w:val="009B34CD"/>
    <w:rsid w:val="009B420A"/>
    <w:rsid w:val="00A23861"/>
    <w:rsid w:val="00A24A70"/>
    <w:rsid w:val="00AA7F70"/>
    <w:rsid w:val="00AC5AAE"/>
    <w:rsid w:val="00AF5798"/>
    <w:rsid w:val="00B47FC6"/>
    <w:rsid w:val="00B577AC"/>
    <w:rsid w:val="00B758A5"/>
    <w:rsid w:val="00B81B21"/>
    <w:rsid w:val="00B8643C"/>
    <w:rsid w:val="00BA60CF"/>
    <w:rsid w:val="00BF55B4"/>
    <w:rsid w:val="00C54DBC"/>
    <w:rsid w:val="00C94D74"/>
    <w:rsid w:val="00CD072A"/>
    <w:rsid w:val="00CF47D3"/>
    <w:rsid w:val="00D400A6"/>
    <w:rsid w:val="00DA3AF2"/>
    <w:rsid w:val="00DC152A"/>
    <w:rsid w:val="00DC5C53"/>
    <w:rsid w:val="00E07E58"/>
    <w:rsid w:val="00E14AE8"/>
    <w:rsid w:val="00E36B4A"/>
    <w:rsid w:val="00E76AD0"/>
    <w:rsid w:val="00E806A1"/>
    <w:rsid w:val="00ED776C"/>
    <w:rsid w:val="00F06388"/>
    <w:rsid w:val="00F21CD9"/>
    <w:rsid w:val="00F25B08"/>
    <w:rsid w:val="00FC04A6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IS Department</cp:lastModifiedBy>
  <cp:revision>2</cp:revision>
  <cp:lastPrinted>2011-08-31T00:12:00Z</cp:lastPrinted>
  <dcterms:created xsi:type="dcterms:W3CDTF">2015-12-14T13:46:00Z</dcterms:created>
  <dcterms:modified xsi:type="dcterms:W3CDTF">2015-12-14T13:46:00Z</dcterms:modified>
</cp:coreProperties>
</file>