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1" w:rsidRPr="006E4DA8" w:rsidRDefault="009032AB" w:rsidP="009032AB">
      <w:pPr>
        <w:pStyle w:val="Heading1"/>
        <w:jc w:val="center"/>
        <w:rPr>
          <w:color w:val="2F2B20" w:themeColor="text1"/>
        </w:rPr>
      </w:pPr>
      <w:r>
        <w:rPr>
          <w:color w:val="2F2B20" w:themeColor="text1"/>
          <w:lang w:val="es-ES"/>
        </w:rPr>
        <w:t>Directrices operativas – Plantilla</w:t>
      </w:r>
    </w:p>
    <w:p w:rsidR="00736E91" w:rsidRDefault="00736E91" w:rsidP="00736E91"/>
    <w:p w:rsidR="00B758A5" w:rsidRPr="009E0992" w:rsidRDefault="009032AB" w:rsidP="009032A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 establecimiento de unas directrices operativas claras para el programa de transferencias de efectivo en un contexto urbano en el que se esté trabajando va a lograr, internamente, una puesta en práctica más eficaz y, externamente, un cumplimiento más sis</w:t>
      </w:r>
      <w:r w:rsidR="009E0992">
        <w:rPr>
          <w:rFonts w:asciiTheme="minorHAnsi" w:hAnsiTheme="minorHAnsi" w:cstheme="minorHAnsi"/>
          <w:lang w:val="es-ES"/>
        </w:rPr>
        <w:t xml:space="preserve">temático de las directrices. </w:t>
      </w:r>
      <w:r>
        <w:rPr>
          <w:rFonts w:asciiTheme="minorHAnsi" w:hAnsiTheme="minorHAnsi" w:cstheme="minorHAnsi"/>
          <w:lang w:val="es-ES"/>
        </w:rPr>
        <w:t>En general, las directrices deberían ser un documento de uso interno de la organización, aunque puedan compartirse con los donantes, los socios del proyecto</w:t>
      </w:r>
      <w:r w:rsidR="009E0992">
        <w:rPr>
          <w:rFonts w:asciiTheme="minorHAnsi" w:hAnsiTheme="minorHAnsi" w:cstheme="minorHAnsi"/>
          <w:lang w:val="es-ES"/>
        </w:rPr>
        <w:t xml:space="preserve"> y los auditores o evaluadores.</w:t>
      </w:r>
      <w:r>
        <w:rPr>
          <w:rFonts w:asciiTheme="minorHAnsi" w:hAnsiTheme="minorHAnsi" w:cstheme="minorHAnsi"/>
          <w:lang w:val="es-ES"/>
        </w:rPr>
        <w:t xml:space="preserve"> Las directrices pueden ser concisas, utilizando puntos destacados que abarquen los temas más importantes.</w:t>
      </w:r>
    </w:p>
    <w:p w:rsidR="009032AB" w:rsidRPr="009E0992" w:rsidRDefault="009032AB" w:rsidP="009032AB">
      <w:pPr>
        <w:rPr>
          <w:rFonts w:asciiTheme="minorHAnsi" w:hAnsiTheme="minorHAnsi" w:cstheme="minorHAnsi"/>
          <w:lang w:val="es-ES"/>
        </w:rPr>
      </w:pPr>
    </w:p>
    <w:p w:rsidR="009032AB" w:rsidRPr="009E0992" w:rsidRDefault="009032AB" w:rsidP="009032AB">
      <w:pPr>
        <w:rPr>
          <w:rFonts w:asciiTheme="minorHAnsi" w:hAnsiTheme="minorHAnsi" w:cstheme="minorHAnsi"/>
          <w:u w:val="single"/>
          <w:lang w:val="es-ES"/>
        </w:rPr>
      </w:pPr>
      <w:r>
        <w:rPr>
          <w:rFonts w:asciiTheme="minorHAnsi" w:hAnsiTheme="minorHAnsi" w:cstheme="minorHAnsi"/>
          <w:u w:val="single"/>
          <w:lang w:val="es-ES"/>
        </w:rPr>
        <w:t>Lista de temas que deben abarcar las directrices operativas</w:t>
      </w:r>
    </w:p>
    <w:p w:rsidR="009032AB" w:rsidRPr="009E0992" w:rsidRDefault="009032AB" w:rsidP="009032AB">
      <w:pPr>
        <w:rPr>
          <w:rFonts w:asciiTheme="minorHAnsi" w:hAnsiTheme="minorHAnsi" w:cstheme="minorHAnsi"/>
          <w:lang w:val="es-ES"/>
        </w:rPr>
      </w:pP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Estudios que constituyan la base para el programa con transferencias de efectivo en un contexto urbano.</w:t>
      </w:r>
    </w:p>
    <w:p w:rsidR="009032AB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Descripción de las necesidades.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Principales problemas a los que se enfrentan los grupos en los que se centra la intervención.</w:t>
      </w:r>
    </w:p>
    <w:p w:rsidR="009032AB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Estrategia del proyecto.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Ciudades y hogares del proyecto.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Fundamentos para la selección de las ciudades en las que se va a centrar la intervención y el número de personas beneficiarias en cada una de ellas.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Productos (alimentarios/no alimentarios) que pueden comprarse con el efectivo o con el vale, según corresponda.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Condiciones para percibir el efectivo o el vale (es decir, número de días de trabajo, sesiones de formación, acreditación de la autorreconstrucción de la vivienda, etc.).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Condiciones para la utilización del efectivo o el vale (dónde puede cobrarse/canjearse, en qué comerciantes puede usarse, etc.).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Importe de la transferencia de efectivo o del vale.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Número de transferencias de efectivo o de distribuciones de vales y su frecuencia.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Funciones y responsabilidades: comités comunitarios locales, comerciantes, ONG principal, donante, etc.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Ciclo de pago a los comercios o calendario de transferencia a la institución financiera.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Formato de la tarjeta o del vale que reciben las personas beneficiarias.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Números de serie e impresión.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Distribución de las tarjetas o los vales a las personas beneficiarias.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Rendición de cuentas y evaluación de riesgos.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Mecanismo financiero que permita el flujo interno de tesorería para financiar el proyecto.</w:t>
      </w:r>
    </w:p>
    <w:p w:rsidR="009032AB" w:rsidRPr="009E0992" w:rsidRDefault="009032AB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Selección de vendedores/tiendas/comerciantes/instituciones de microfinanciación/empresas dedicadas a la transferencia de fondos.</w:t>
      </w:r>
    </w:p>
    <w:p w:rsidR="009032AB" w:rsidRPr="009E0992" w:rsidRDefault="00DA3AF2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Acuerdos entre la ONG y otras instituciones involucradas en el programa.</w:t>
      </w:r>
    </w:p>
    <w:p w:rsidR="00DA3AF2" w:rsidRDefault="00DA3AF2" w:rsidP="009032A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Estudio de referencia.</w:t>
      </w:r>
    </w:p>
    <w:p w:rsidR="00DA3AF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Campaña de información.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Requisitos sobre la calidad de los productos.</w:t>
      </w:r>
    </w:p>
    <w:p w:rsidR="00DA3AF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Labor de seguimiento.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Seguimiento de los precios de mercado.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Cuestiones relacionadas con los impuestos sobre la renta y sobre el valor añadido.</w:t>
      </w:r>
    </w:p>
    <w:p w:rsidR="00DA3AF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Acuerdos de colaboración.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Riesgos y planes de contingencia.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Problemas relativos a la inflación y la fijación de precios, así como estrategias para su mitiga</w:t>
      </w:r>
      <w:r w:rsidR="009E0992">
        <w:rPr>
          <w:rFonts w:asciiTheme="minorHAnsi" w:hAnsiTheme="minorHAnsi" w:cstheme="minorHAnsi"/>
          <w:lang w:val="es-ES"/>
        </w:rPr>
        <w:t>rlos</w:t>
      </w:r>
      <w:r>
        <w:rPr>
          <w:rFonts w:asciiTheme="minorHAnsi" w:hAnsiTheme="minorHAnsi" w:cstheme="minorHAnsi"/>
          <w:lang w:val="es-ES"/>
        </w:rPr>
        <w:t>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Forma de gestionar la utilización indebida del efectivo o del vale.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Dotación de personal para el proyecto.</w:t>
      </w:r>
    </w:p>
    <w:p w:rsidR="00DA3AF2" w:rsidRPr="009E0992" w:rsidRDefault="00DA3AF2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Gestión de </w:t>
      </w:r>
      <w:r w:rsidR="009E0992">
        <w:rPr>
          <w:rFonts w:asciiTheme="minorHAnsi" w:hAnsiTheme="minorHAnsi" w:cstheme="minorHAnsi"/>
          <w:lang w:val="es-ES"/>
        </w:rPr>
        <w:t xml:space="preserve">quejas y </w:t>
      </w:r>
      <w:r>
        <w:rPr>
          <w:rFonts w:asciiTheme="minorHAnsi" w:hAnsiTheme="minorHAnsi" w:cstheme="minorHAnsi"/>
          <w:lang w:val="es-ES"/>
        </w:rPr>
        <w:t>reclamaciones.</w:t>
      </w:r>
    </w:p>
    <w:sectPr w:rsidR="00DA3AF2" w:rsidRPr="009E0992" w:rsidSect="003A22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38" w:rsidRDefault="00B06238" w:rsidP="00B577AC">
      <w:r>
        <w:separator/>
      </w:r>
    </w:p>
  </w:endnote>
  <w:endnote w:type="continuationSeparator" w:id="0">
    <w:p w:rsidR="00B06238" w:rsidRDefault="00B06238" w:rsidP="00B5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38" w:rsidRDefault="00B06238" w:rsidP="00B577AC">
      <w:r>
        <w:separator/>
      </w:r>
    </w:p>
  </w:footnote>
  <w:footnote w:type="continuationSeparator" w:id="0">
    <w:p w:rsidR="00B06238" w:rsidRDefault="00B06238" w:rsidP="00B5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21" w:rsidRPr="009E0992" w:rsidRDefault="006E4DA8">
    <w:pPr>
      <w:pStyle w:val="Header"/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tab/>
    </w:r>
    <w:r>
      <w:rPr>
        <w:lang w:val="es-ES"/>
      </w:rPr>
      <w:ptab w:relativeTo="margin" w:alignment="center" w:leader="none"/>
    </w:r>
    <w:r>
      <w:rPr>
        <w:lang w:val="es-ES"/>
      </w:rPr>
      <w:ptab w:relativeTo="margin" w:alignment="right" w:leader="none"/>
    </w:r>
    <w:r>
      <w:rPr>
        <w:lang w:val="es-ES"/>
      </w:rPr>
      <w:t>Anexo: Herramienta 10a</w:t>
    </w:r>
  </w:p>
  <w:p w:rsidR="006E4DA8" w:rsidRDefault="006E4DA8">
    <w:pPr>
      <w:pStyle w:val="Header"/>
    </w:pPr>
    <w:r>
      <w:rPr>
        <w:lang w:val="es-ES"/>
      </w:rPr>
      <w:tab/>
    </w:r>
    <w:r>
      <w:rPr>
        <w:lang w:val="es-ES"/>
      </w:rPr>
      <w:tab/>
      <w:t>Plantilla para las directrices operativas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48A"/>
    <w:multiLevelType w:val="hybridMultilevel"/>
    <w:tmpl w:val="F440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4E7"/>
    <w:multiLevelType w:val="hybridMultilevel"/>
    <w:tmpl w:val="80E0A5D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264B2"/>
    <w:multiLevelType w:val="hybridMultilevel"/>
    <w:tmpl w:val="8BE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09C"/>
    <w:multiLevelType w:val="hybridMultilevel"/>
    <w:tmpl w:val="6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0D70"/>
    <w:multiLevelType w:val="hybridMultilevel"/>
    <w:tmpl w:val="7618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548E"/>
    <w:multiLevelType w:val="hybridMultilevel"/>
    <w:tmpl w:val="41E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1F5E"/>
    <w:multiLevelType w:val="hybridMultilevel"/>
    <w:tmpl w:val="01F8D19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63D28"/>
    <w:multiLevelType w:val="hybridMultilevel"/>
    <w:tmpl w:val="F50ECDBE"/>
    <w:lvl w:ilvl="0" w:tplc="E840A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12CCD"/>
    <w:multiLevelType w:val="hybridMultilevel"/>
    <w:tmpl w:val="338E5E4A"/>
    <w:lvl w:ilvl="0" w:tplc="0DB2CED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E77E8"/>
    <w:multiLevelType w:val="hybridMultilevel"/>
    <w:tmpl w:val="557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4BD9"/>
    <w:multiLevelType w:val="hybridMultilevel"/>
    <w:tmpl w:val="173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E4CA7"/>
    <w:multiLevelType w:val="hybridMultilevel"/>
    <w:tmpl w:val="00D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55BA7"/>
    <w:multiLevelType w:val="hybridMultilevel"/>
    <w:tmpl w:val="DF52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A55C4"/>
    <w:multiLevelType w:val="hybridMultilevel"/>
    <w:tmpl w:val="05EC7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03263"/>
    <w:multiLevelType w:val="hybridMultilevel"/>
    <w:tmpl w:val="F490B7DE"/>
    <w:lvl w:ilvl="0" w:tplc="0E94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91135"/>
    <w:multiLevelType w:val="hybridMultilevel"/>
    <w:tmpl w:val="A4B42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C76E4"/>
    <w:multiLevelType w:val="hybridMultilevel"/>
    <w:tmpl w:val="9962DF9E"/>
    <w:lvl w:ilvl="0" w:tplc="96083F6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7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14"/>
  </w:num>
  <w:num w:numId="17">
    <w:abstractNumId w:val="5"/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7AC"/>
    <w:rsid w:val="00040596"/>
    <w:rsid w:val="000425B3"/>
    <w:rsid w:val="00043A76"/>
    <w:rsid w:val="0005131B"/>
    <w:rsid w:val="0007010E"/>
    <w:rsid w:val="000C09C0"/>
    <w:rsid w:val="000C619A"/>
    <w:rsid w:val="001224F2"/>
    <w:rsid w:val="00183D97"/>
    <w:rsid w:val="00184A16"/>
    <w:rsid w:val="001A0282"/>
    <w:rsid w:val="00263153"/>
    <w:rsid w:val="002E2139"/>
    <w:rsid w:val="003432DC"/>
    <w:rsid w:val="003A22E1"/>
    <w:rsid w:val="003A6A13"/>
    <w:rsid w:val="00450F6D"/>
    <w:rsid w:val="004E6903"/>
    <w:rsid w:val="00506418"/>
    <w:rsid w:val="00545EA3"/>
    <w:rsid w:val="00587D94"/>
    <w:rsid w:val="005D47C2"/>
    <w:rsid w:val="006337A5"/>
    <w:rsid w:val="0066767C"/>
    <w:rsid w:val="006A45B0"/>
    <w:rsid w:val="006B2688"/>
    <w:rsid w:val="006C4ED2"/>
    <w:rsid w:val="006E0B5B"/>
    <w:rsid w:val="006E4DA8"/>
    <w:rsid w:val="0071138E"/>
    <w:rsid w:val="00736E91"/>
    <w:rsid w:val="00737560"/>
    <w:rsid w:val="0077209D"/>
    <w:rsid w:val="007C1441"/>
    <w:rsid w:val="007C5ABC"/>
    <w:rsid w:val="008534E7"/>
    <w:rsid w:val="00885316"/>
    <w:rsid w:val="00896B55"/>
    <w:rsid w:val="008E2213"/>
    <w:rsid w:val="008E3DBD"/>
    <w:rsid w:val="008E59F4"/>
    <w:rsid w:val="009032AB"/>
    <w:rsid w:val="00906DFD"/>
    <w:rsid w:val="00943513"/>
    <w:rsid w:val="009754BF"/>
    <w:rsid w:val="009B34CD"/>
    <w:rsid w:val="009B420A"/>
    <w:rsid w:val="009E0992"/>
    <w:rsid w:val="00A23861"/>
    <w:rsid w:val="00A24A70"/>
    <w:rsid w:val="00A9409D"/>
    <w:rsid w:val="00AA7F70"/>
    <w:rsid w:val="00AC5AAE"/>
    <w:rsid w:val="00B06238"/>
    <w:rsid w:val="00B577AC"/>
    <w:rsid w:val="00B758A5"/>
    <w:rsid w:val="00B81B21"/>
    <w:rsid w:val="00BD6AB2"/>
    <w:rsid w:val="00C94D74"/>
    <w:rsid w:val="00CD072A"/>
    <w:rsid w:val="00CF47D3"/>
    <w:rsid w:val="00D400A6"/>
    <w:rsid w:val="00DA3AF2"/>
    <w:rsid w:val="00DC152A"/>
    <w:rsid w:val="00DC5C53"/>
    <w:rsid w:val="00E14AE8"/>
    <w:rsid w:val="00E36B4A"/>
    <w:rsid w:val="00E76AD0"/>
    <w:rsid w:val="00E806A1"/>
    <w:rsid w:val="00E86C02"/>
    <w:rsid w:val="00ED776C"/>
    <w:rsid w:val="00EE66C8"/>
    <w:rsid w:val="00F06388"/>
    <w:rsid w:val="00F21CD9"/>
    <w:rsid w:val="00F25B08"/>
    <w:rsid w:val="00F8094A"/>
    <w:rsid w:val="00FC04A6"/>
    <w:rsid w:val="00FD5C31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1"/>
    <w:pPr>
      <w:spacing w:after="0" w:line="240" w:lineRule="auto"/>
    </w:pPr>
    <w:rPr>
      <w:rFonts w:ascii="Trebuchet MS" w:eastAsia="Times New Roman" w:hAnsi="Trebuchet M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E91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C4ED2"/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36B4A"/>
    <w:rPr>
      <w:rFonts w:asciiTheme="majorHAnsi" w:eastAsiaTheme="majorEastAsia" w:hAnsiTheme="majorHAnsi" w:cstheme="majorBidi"/>
      <w:b/>
      <w:bCs/>
      <w:color w:val="A9A57C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DC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1"/>
    <w:pPr>
      <w:spacing w:after="0" w:line="240" w:lineRule="auto"/>
    </w:pPr>
    <w:rPr>
      <w:rFonts w:ascii="Trebuchet MS" w:eastAsia="Times New Roman" w:hAnsi="Trebuchet M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E91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C4ED2"/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36B4A"/>
    <w:rPr>
      <w:rFonts w:asciiTheme="majorHAnsi" w:eastAsiaTheme="majorEastAsia" w:hAnsiTheme="majorHAnsi" w:cstheme="majorBidi"/>
      <w:b/>
      <w:bCs/>
      <w:color w:val="A9A57C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DC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#2:  Targeting, Beneficiary Selection, and Verification in Urban Cash Programmes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#2:  Targeting, Beneficiary Selection, and Verification in Urban Cash Programmes</dc:title>
  <dc:creator>Tiare</dc:creator>
  <cp:lastModifiedBy>IS Department</cp:lastModifiedBy>
  <cp:revision>2</cp:revision>
  <cp:lastPrinted>2011-08-31T00:12:00Z</cp:lastPrinted>
  <dcterms:created xsi:type="dcterms:W3CDTF">2015-12-14T12:16:00Z</dcterms:created>
  <dcterms:modified xsi:type="dcterms:W3CDTF">2015-12-14T12:16:00Z</dcterms:modified>
</cp:coreProperties>
</file>