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7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7229"/>
      </w:tblGrid>
      <w:tr w:rsidR="00252B9E" w:rsidRPr="00B9787C" w:rsidTr="00B71611">
        <w:tc>
          <w:tcPr>
            <w:tcW w:w="10598" w:type="dxa"/>
            <w:gridSpan w:val="2"/>
            <w:tcBorders>
              <w:top w:val="single" w:sz="4" w:space="0" w:color="FF0000"/>
              <w:left w:val="single" w:sz="4" w:space="0" w:color="FF0000"/>
              <w:bottom w:val="single" w:sz="4" w:space="0" w:color="auto"/>
              <w:right w:val="single" w:sz="4" w:space="0" w:color="FF0000"/>
            </w:tcBorders>
            <w:shd w:val="clear" w:color="auto" w:fill="FF0000"/>
          </w:tcPr>
          <w:p w:rsidR="00252B9E" w:rsidRPr="000E45C8" w:rsidRDefault="00252B9E" w:rsidP="003A214F">
            <w:pPr>
              <w:spacing w:line="276" w:lineRule="auto"/>
              <w:rPr>
                <w:b/>
                <w:bCs/>
                <w:color w:val="FFFFFF"/>
                <w:sz w:val="18"/>
                <w:lang w:val="en-US"/>
              </w:rPr>
            </w:pPr>
          </w:p>
          <w:p w:rsidR="009E4480" w:rsidRDefault="00B9787C" w:rsidP="003A214F">
            <w:pPr>
              <w:spacing w:line="276" w:lineRule="auto"/>
              <w:jc w:val="center"/>
              <w:rPr>
                <w:b/>
                <w:noProof/>
                <w:lang w:val="fr-FR" w:eastAsia="fr-FR"/>
              </w:rPr>
            </w:pPr>
            <w:r>
              <w:rPr>
                <w:b/>
                <w:noProof/>
                <w:lang w:val="fr-FR" w:eastAsia="fr-FR"/>
              </w:rPr>
              <w:t xml:space="preserve">Fiche de partage d’expérience des PTM </w:t>
            </w:r>
            <w:r w:rsidR="00E91EBC" w:rsidRPr="00E91EBC">
              <w:rPr>
                <w:b/>
                <w:noProof/>
                <w:lang w:val="fr-FR" w:eastAsia="fr-FR"/>
              </w:rPr>
              <w:t xml:space="preserve"> – </w:t>
            </w:r>
            <w:r w:rsidR="00934100">
              <w:rPr>
                <w:b/>
                <w:noProof/>
                <w:lang w:val="fr-FR" w:eastAsia="fr-FR"/>
              </w:rPr>
              <w:t>Capitalisation</w:t>
            </w:r>
          </w:p>
          <w:p w:rsidR="00F51ABC" w:rsidRPr="00E91EBC" w:rsidRDefault="00F51ABC" w:rsidP="00372B4E">
            <w:pPr>
              <w:tabs>
                <w:tab w:val="left" w:pos="3248"/>
              </w:tabs>
              <w:spacing w:line="276" w:lineRule="auto"/>
              <w:jc w:val="center"/>
              <w:rPr>
                <w:b/>
                <w:noProof/>
                <w:lang w:val="fr-FR" w:eastAsia="fr-FR"/>
              </w:rPr>
            </w:pPr>
            <w:r>
              <w:rPr>
                <w:b/>
                <w:noProof/>
                <w:lang w:val="fr-FR" w:eastAsia="fr-FR"/>
              </w:rPr>
              <w:t>Côte d’Ivoire</w:t>
            </w:r>
            <w:r w:rsidR="00372B4E">
              <w:rPr>
                <w:b/>
                <w:noProof/>
                <w:lang w:val="fr-FR" w:eastAsia="fr-FR"/>
              </w:rPr>
              <w:t>, Abidjan</w:t>
            </w:r>
            <w:r w:rsidRPr="00E91EBC">
              <w:rPr>
                <w:b/>
                <w:noProof/>
                <w:lang w:val="fr-FR" w:eastAsia="fr-FR"/>
              </w:rPr>
              <w:t xml:space="preserve">, </w:t>
            </w:r>
            <w:r>
              <w:rPr>
                <w:b/>
                <w:noProof/>
                <w:lang w:val="fr-FR" w:eastAsia="fr-FR"/>
              </w:rPr>
              <w:t>ACTED, 2012</w:t>
            </w:r>
          </w:p>
          <w:p w:rsidR="00252B9E" w:rsidRPr="001A56E0" w:rsidRDefault="00252B9E" w:rsidP="003A214F">
            <w:pPr>
              <w:spacing w:line="276" w:lineRule="auto"/>
              <w:jc w:val="center"/>
              <w:rPr>
                <w:b/>
                <w:bCs/>
                <w:color w:val="FFFFFF"/>
                <w:sz w:val="8"/>
                <w:szCs w:val="8"/>
                <w:lang w:val="fr-FR"/>
              </w:rPr>
            </w:pPr>
          </w:p>
        </w:tc>
      </w:tr>
      <w:tr w:rsidR="00CD06FF" w:rsidRPr="00B9787C" w:rsidTr="00B71611">
        <w:trPr>
          <w:trHeight w:val="807"/>
        </w:trPr>
        <w:tc>
          <w:tcPr>
            <w:tcW w:w="3369" w:type="dxa"/>
            <w:tcBorders>
              <w:top w:val="single" w:sz="4" w:space="0" w:color="auto"/>
              <w:left w:val="single" w:sz="4" w:space="0" w:color="auto"/>
              <w:bottom w:val="single" w:sz="4" w:space="0" w:color="auto"/>
              <w:right w:val="single" w:sz="4" w:space="0" w:color="auto"/>
            </w:tcBorders>
            <w:shd w:val="clear" w:color="auto" w:fill="EAF1DD"/>
            <w:tcMar>
              <w:top w:w="170" w:type="dxa"/>
              <w:bottom w:w="170" w:type="dxa"/>
            </w:tcMar>
            <w:vAlign w:val="center"/>
          </w:tcPr>
          <w:p w:rsidR="00CD06FF" w:rsidRPr="001A56E0" w:rsidRDefault="00CD06FF" w:rsidP="003A214F">
            <w:pPr>
              <w:spacing w:line="276" w:lineRule="auto"/>
              <w:rPr>
                <w:sz w:val="20"/>
                <w:lang w:val="fr-FR"/>
              </w:rPr>
            </w:pPr>
            <w:r>
              <w:rPr>
                <w:sz w:val="20"/>
                <w:lang w:val="fr-FR"/>
              </w:rPr>
              <w:t xml:space="preserve">Type de document plus complet disponible </w:t>
            </w:r>
            <w:r w:rsidRPr="00372B4E">
              <w:rPr>
                <w:sz w:val="18"/>
                <w:szCs w:val="18"/>
                <w:lang w:val="fr-FR"/>
              </w:rPr>
              <w:t>(évaluation/capitalisation, Interne/externe)</w:t>
            </w:r>
          </w:p>
        </w:tc>
        <w:tc>
          <w:tcPr>
            <w:tcW w:w="7229" w:type="dxa"/>
            <w:tcBorders>
              <w:top w:val="single" w:sz="4" w:space="0" w:color="auto"/>
              <w:left w:val="single" w:sz="4" w:space="0" w:color="auto"/>
              <w:bottom w:val="single" w:sz="4" w:space="0" w:color="auto"/>
              <w:right w:val="single" w:sz="4" w:space="0" w:color="auto"/>
            </w:tcBorders>
            <w:shd w:val="clear" w:color="auto" w:fill="EEECE1"/>
            <w:tcMar>
              <w:top w:w="170" w:type="dxa"/>
              <w:bottom w:w="170" w:type="dxa"/>
            </w:tcMar>
            <w:vAlign w:val="center"/>
          </w:tcPr>
          <w:p w:rsidR="00CD06FF" w:rsidRPr="00D45912" w:rsidRDefault="00CD06FF" w:rsidP="003A214F">
            <w:pPr>
              <w:spacing w:line="276" w:lineRule="auto"/>
              <w:rPr>
                <w:color w:val="000000"/>
                <w:sz w:val="18"/>
                <w:lang w:val="fr-FR"/>
              </w:rPr>
            </w:pPr>
            <w:r w:rsidRPr="00D45912">
              <w:rPr>
                <w:color w:val="000000"/>
                <w:sz w:val="18"/>
                <w:lang w:val="fr-FR"/>
              </w:rPr>
              <w:t xml:space="preserve">Rapport de capitalisation </w:t>
            </w:r>
          </w:p>
        </w:tc>
      </w:tr>
      <w:tr w:rsidR="00CD06FF" w:rsidRPr="008F3EBF" w:rsidTr="00B71611">
        <w:tc>
          <w:tcPr>
            <w:tcW w:w="3369" w:type="dxa"/>
            <w:tcBorders>
              <w:top w:val="single" w:sz="4" w:space="0" w:color="auto"/>
              <w:left w:val="single" w:sz="4" w:space="0" w:color="auto"/>
              <w:bottom w:val="single" w:sz="4" w:space="0" w:color="auto"/>
              <w:right w:val="single" w:sz="4" w:space="0" w:color="auto"/>
            </w:tcBorders>
            <w:shd w:val="clear" w:color="auto" w:fill="EAF1DD"/>
            <w:tcMar>
              <w:top w:w="170" w:type="dxa"/>
              <w:bottom w:w="170" w:type="dxa"/>
            </w:tcMar>
            <w:vAlign w:val="center"/>
          </w:tcPr>
          <w:p w:rsidR="00CD06FF" w:rsidRPr="001A56E0" w:rsidRDefault="00CD06FF" w:rsidP="003A214F">
            <w:pPr>
              <w:spacing w:line="276" w:lineRule="auto"/>
              <w:rPr>
                <w:sz w:val="20"/>
                <w:lang w:val="fr-FR"/>
              </w:rPr>
            </w:pPr>
            <w:r w:rsidRPr="001A56E0">
              <w:rPr>
                <w:sz w:val="20"/>
                <w:lang w:val="fr-FR"/>
              </w:rPr>
              <w:t xml:space="preserve">Localisation: Pays, </w:t>
            </w:r>
            <w:r>
              <w:rPr>
                <w:sz w:val="20"/>
                <w:lang w:val="fr-FR"/>
              </w:rPr>
              <w:t xml:space="preserve">Région/département/Communes </w:t>
            </w:r>
          </w:p>
        </w:tc>
        <w:tc>
          <w:tcPr>
            <w:tcW w:w="7229" w:type="dxa"/>
            <w:tcBorders>
              <w:top w:val="single" w:sz="4" w:space="0" w:color="auto"/>
              <w:left w:val="single" w:sz="4" w:space="0" w:color="auto"/>
              <w:bottom w:val="single" w:sz="4" w:space="0" w:color="auto"/>
              <w:right w:val="single" w:sz="4" w:space="0" w:color="auto"/>
            </w:tcBorders>
            <w:shd w:val="clear" w:color="auto" w:fill="EEECE1"/>
            <w:tcMar>
              <w:top w:w="170" w:type="dxa"/>
              <w:bottom w:w="170" w:type="dxa"/>
            </w:tcMar>
            <w:vAlign w:val="center"/>
          </w:tcPr>
          <w:p w:rsidR="00CD06FF" w:rsidRPr="001A56E0" w:rsidRDefault="00CD06FF" w:rsidP="003A214F">
            <w:pPr>
              <w:spacing w:line="276" w:lineRule="auto"/>
              <w:rPr>
                <w:color w:val="000000"/>
                <w:sz w:val="18"/>
                <w:lang w:val="fr-FR"/>
              </w:rPr>
            </w:pPr>
            <w:r>
              <w:rPr>
                <w:color w:val="000000"/>
                <w:sz w:val="18"/>
                <w:lang w:val="fr-FR"/>
              </w:rPr>
              <w:t xml:space="preserve"> Côte d’Ivoire, District d’Abidjan, communes d’Abobo et Yopougon</w:t>
            </w:r>
          </w:p>
        </w:tc>
      </w:tr>
      <w:tr w:rsidR="00CD06FF" w:rsidRPr="008F3EBF" w:rsidTr="00B71611">
        <w:tc>
          <w:tcPr>
            <w:tcW w:w="3369" w:type="dxa"/>
            <w:tcBorders>
              <w:top w:val="single" w:sz="4" w:space="0" w:color="auto"/>
              <w:left w:val="single" w:sz="4" w:space="0" w:color="auto"/>
              <w:bottom w:val="single" w:sz="4" w:space="0" w:color="auto"/>
              <w:right w:val="single" w:sz="4" w:space="0" w:color="auto"/>
            </w:tcBorders>
            <w:shd w:val="clear" w:color="auto" w:fill="EAF1DD"/>
            <w:tcMar>
              <w:top w:w="170" w:type="dxa"/>
              <w:bottom w:w="170" w:type="dxa"/>
            </w:tcMar>
            <w:vAlign w:val="center"/>
          </w:tcPr>
          <w:p w:rsidR="00CD06FF" w:rsidRPr="00C006BC" w:rsidRDefault="00CD06FF" w:rsidP="003A214F">
            <w:pPr>
              <w:spacing w:line="276" w:lineRule="auto"/>
              <w:rPr>
                <w:sz w:val="20"/>
                <w:lang w:val="fr-FR"/>
              </w:rPr>
            </w:pPr>
            <w:r w:rsidRPr="001A56E0">
              <w:rPr>
                <w:sz w:val="20"/>
                <w:lang w:val="fr-FR"/>
              </w:rPr>
              <w:t>Contexte</w:t>
            </w:r>
            <w:r w:rsidRPr="00017383">
              <w:rPr>
                <w:sz w:val="20"/>
                <w:lang w:val="fr-FR"/>
              </w:rPr>
              <w:t xml:space="preserve"> humanitaire</w:t>
            </w:r>
            <w:r w:rsidRPr="00C006BC">
              <w:rPr>
                <w:sz w:val="20"/>
                <w:lang w:val="fr-FR"/>
              </w:rPr>
              <w:t xml:space="preserve"> de</w:t>
            </w:r>
            <w:r w:rsidRPr="00017383">
              <w:rPr>
                <w:sz w:val="20"/>
                <w:lang w:val="fr-WINDIES"/>
              </w:rPr>
              <w:t xml:space="preserve"> l’action</w:t>
            </w:r>
            <w:r w:rsidRPr="00C006BC">
              <w:rPr>
                <w:sz w:val="20"/>
                <w:lang w:val="fr-FR"/>
              </w:rPr>
              <w:t xml:space="preserve"> </w:t>
            </w:r>
          </w:p>
          <w:p w:rsidR="00CD06FF" w:rsidRPr="00C006BC" w:rsidRDefault="00CD06FF" w:rsidP="003A214F">
            <w:pPr>
              <w:spacing w:line="276" w:lineRule="auto"/>
              <w:rPr>
                <w:sz w:val="20"/>
                <w:lang w:val="fr-FR"/>
              </w:rPr>
            </w:pPr>
            <w:r w:rsidRPr="001A56E0">
              <w:rPr>
                <w:sz w:val="20"/>
                <w:lang w:val="fr-FR"/>
              </w:rPr>
              <w:t>(Urgence</w:t>
            </w:r>
            <w:r>
              <w:rPr>
                <w:sz w:val="20"/>
                <w:lang w:val="fr-FR"/>
              </w:rPr>
              <w:t>, Ré</w:t>
            </w:r>
            <w:r w:rsidRPr="00C006BC">
              <w:rPr>
                <w:sz w:val="20"/>
                <w:lang w:val="fr-FR"/>
              </w:rPr>
              <w:t>habilitation,</w:t>
            </w:r>
            <w:r w:rsidRPr="00017383">
              <w:rPr>
                <w:sz w:val="20"/>
                <w:lang w:val="fr-WINDIES"/>
              </w:rPr>
              <w:t xml:space="preserve"> autres</w:t>
            </w:r>
            <w:r w:rsidRPr="00C006BC">
              <w:rPr>
                <w:sz w:val="20"/>
                <w:lang w:val="fr-FR"/>
              </w:rPr>
              <w:t xml:space="preserve"> ?), </w:t>
            </w:r>
          </w:p>
        </w:tc>
        <w:tc>
          <w:tcPr>
            <w:tcW w:w="7229" w:type="dxa"/>
            <w:tcBorders>
              <w:top w:val="single" w:sz="4" w:space="0" w:color="auto"/>
              <w:left w:val="single" w:sz="4" w:space="0" w:color="auto"/>
              <w:bottom w:val="single" w:sz="4" w:space="0" w:color="auto"/>
              <w:right w:val="single" w:sz="4" w:space="0" w:color="auto"/>
            </w:tcBorders>
            <w:shd w:val="clear" w:color="auto" w:fill="EEECE1"/>
            <w:tcMar>
              <w:top w:w="170" w:type="dxa"/>
              <w:bottom w:w="170" w:type="dxa"/>
            </w:tcMar>
            <w:vAlign w:val="center"/>
          </w:tcPr>
          <w:p w:rsidR="00CD06FF" w:rsidRPr="00B90A12" w:rsidRDefault="00CD06FF" w:rsidP="003A214F">
            <w:pPr>
              <w:spacing w:line="276" w:lineRule="auto"/>
              <w:rPr>
                <w:color w:val="000000"/>
                <w:sz w:val="18"/>
                <w:lang w:val="fr-FR"/>
              </w:rPr>
            </w:pPr>
            <w:r w:rsidRPr="00B90A12">
              <w:rPr>
                <w:color w:val="000000"/>
                <w:sz w:val="18"/>
                <w:lang w:val="fr-FR"/>
              </w:rPr>
              <w:t xml:space="preserve">Relèvement post-crise postélectorale suite aux affrontements violents entre les Forces de Défense et de Sécurité (FDS) et les Forces Républicaines de Côte d'Ivoire (FRCI) durant l’année 2011. </w:t>
            </w:r>
          </w:p>
        </w:tc>
      </w:tr>
      <w:tr w:rsidR="00CD06FF" w:rsidRPr="008F3EBF" w:rsidTr="00B71611">
        <w:tc>
          <w:tcPr>
            <w:tcW w:w="3369" w:type="dxa"/>
            <w:tcBorders>
              <w:top w:val="single" w:sz="4" w:space="0" w:color="auto"/>
              <w:left w:val="single" w:sz="4" w:space="0" w:color="auto"/>
              <w:bottom w:val="single" w:sz="4" w:space="0" w:color="auto"/>
              <w:right w:val="single" w:sz="4" w:space="0" w:color="auto"/>
            </w:tcBorders>
            <w:shd w:val="clear" w:color="auto" w:fill="EAF1DD"/>
            <w:tcMar>
              <w:top w:w="170" w:type="dxa"/>
              <w:bottom w:w="170" w:type="dxa"/>
            </w:tcMar>
            <w:vAlign w:val="center"/>
          </w:tcPr>
          <w:p w:rsidR="00CD06FF" w:rsidRDefault="00CD06FF" w:rsidP="003A214F">
            <w:pPr>
              <w:spacing w:line="276" w:lineRule="auto"/>
              <w:rPr>
                <w:sz w:val="20"/>
                <w:lang w:val="fr-FR"/>
              </w:rPr>
            </w:pPr>
            <w:r>
              <w:rPr>
                <w:sz w:val="20"/>
                <w:lang w:val="fr-FR"/>
              </w:rPr>
              <w:t>Type(s) de Chocs/crises (</w:t>
            </w:r>
            <w:r w:rsidRPr="00372B4E">
              <w:rPr>
                <w:sz w:val="18"/>
                <w:szCs w:val="18"/>
                <w:lang w:val="fr-FR"/>
              </w:rPr>
              <w:t xml:space="preserve">Conflit, Crise politique, inondation, sècheresse, prix, criquets, MAG, Choléra, </w:t>
            </w:r>
            <w:proofErr w:type="spellStart"/>
            <w:r w:rsidRPr="00372B4E">
              <w:rPr>
                <w:sz w:val="18"/>
                <w:szCs w:val="18"/>
                <w:lang w:val="fr-FR"/>
              </w:rPr>
              <w:t>ect</w:t>
            </w:r>
            <w:proofErr w:type="spellEnd"/>
            <w:r w:rsidRPr="00372B4E">
              <w:rPr>
                <w:sz w:val="18"/>
                <w:szCs w:val="18"/>
                <w:lang w:val="fr-FR"/>
              </w:rPr>
              <w:t>)</w:t>
            </w:r>
          </w:p>
        </w:tc>
        <w:tc>
          <w:tcPr>
            <w:tcW w:w="7229" w:type="dxa"/>
            <w:tcBorders>
              <w:top w:val="single" w:sz="4" w:space="0" w:color="auto"/>
              <w:left w:val="single" w:sz="4" w:space="0" w:color="auto"/>
              <w:bottom w:val="single" w:sz="4" w:space="0" w:color="auto"/>
              <w:right w:val="single" w:sz="4" w:space="0" w:color="auto"/>
            </w:tcBorders>
            <w:shd w:val="clear" w:color="auto" w:fill="EEECE1"/>
            <w:tcMar>
              <w:top w:w="170" w:type="dxa"/>
              <w:bottom w:w="170" w:type="dxa"/>
            </w:tcMar>
            <w:vAlign w:val="center"/>
          </w:tcPr>
          <w:p w:rsidR="00CD06FF" w:rsidRPr="00B90A12" w:rsidRDefault="00CD06FF" w:rsidP="003A214F">
            <w:pPr>
              <w:spacing w:line="276" w:lineRule="auto"/>
              <w:rPr>
                <w:color w:val="000000"/>
                <w:sz w:val="18"/>
                <w:lang w:val="fr-FR"/>
              </w:rPr>
            </w:pPr>
            <w:r>
              <w:rPr>
                <w:color w:val="000000"/>
                <w:sz w:val="18"/>
                <w:lang w:val="fr-FR"/>
              </w:rPr>
              <w:t>Crise politique, i</w:t>
            </w:r>
            <w:r w:rsidRPr="00B90A12">
              <w:rPr>
                <w:color w:val="000000"/>
                <w:sz w:val="18"/>
                <w:lang w:val="fr-FR"/>
              </w:rPr>
              <w:t xml:space="preserve">nsécurité alimentaire, </w:t>
            </w:r>
            <w:r>
              <w:rPr>
                <w:color w:val="000000"/>
                <w:sz w:val="18"/>
                <w:lang w:val="fr-FR"/>
              </w:rPr>
              <w:t xml:space="preserve">perte de moyens d’existence </w:t>
            </w:r>
          </w:p>
        </w:tc>
      </w:tr>
      <w:tr w:rsidR="00CD06FF" w:rsidRPr="00CD06FF" w:rsidTr="00B71611">
        <w:tc>
          <w:tcPr>
            <w:tcW w:w="3369" w:type="dxa"/>
            <w:tcBorders>
              <w:top w:val="single" w:sz="4" w:space="0" w:color="auto"/>
              <w:left w:val="single" w:sz="4" w:space="0" w:color="auto"/>
              <w:bottom w:val="single" w:sz="4" w:space="0" w:color="auto"/>
              <w:right w:val="single" w:sz="4" w:space="0" w:color="auto"/>
            </w:tcBorders>
            <w:shd w:val="clear" w:color="auto" w:fill="EAF1DD"/>
            <w:tcMar>
              <w:top w:w="170" w:type="dxa"/>
              <w:bottom w:w="170" w:type="dxa"/>
            </w:tcMar>
            <w:vAlign w:val="center"/>
          </w:tcPr>
          <w:p w:rsidR="00CD06FF" w:rsidRPr="001A56E0" w:rsidRDefault="00CD06FF" w:rsidP="003A214F">
            <w:pPr>
              <w:spacing w:line="276" w:lineRule="auto"/>
              <w:rPr>
                <w:sz w:val="20"/>
                <w:lang w:val="fr-FR"/>
              </w:rPr>
            </w:pPr>
            <w:r>
              <w:rPr>
                <w:sz w:val="20"/>
                <w:lang w:val="fr-FR"/>
              </w:rPr>
              <w:t xml:space="preserve">Type de contexte </w:t>
            </w:r>
            <w:r w:rsidRPr="00372B4E">
              <w:rPr>
                <w:sz w:val="18"/>
                <w:szCs w:val="18"/>
                <w:lang w:val="fr-FR"/>
              </w:rPr>
              <w:t>(urbain, rural, Camps/déplacés, mixte (précisez))</w:t>
            </w:r>
          </w:p>
        </w:tc>
        <w:tc>
          <w:tcPr>
            <w:tcW w:w="7229" w:type="dxa"/>
            <w:tcBorders>
              <w:top w:val="single" w:sz="4" w:space="0" w:color="auto"/>
              <w:left w:val="single" w:sz="4" w:space="0" w:color="auto"/>
              <w:bottom w:val="single" w:sz="4" w:space="0" w:color="auto"/>
              <w:right w:val="single" w:sz="4" w:space="0" w:color="auto"/>
            </w:tcBorders>
            <w:shd w:val="clear" w:color="auto" w:fill="EEECE1"/>
            <w:tcMar>
              <w:top w:w="170" w:type="dxa"/>
              <w:bottom w:w="170" w:type="dxa"/>
            </w:tcMar>
            <w:vAlign w:val="center"/>
          </w:tcPr>
          <w:p w:rsidR="00CD06FF" w:rsidRPr="00E93B92" w:rsidRDefault="00CD06FF" w:rsidP="003A214F">
            <w:pPr>
              <w:spacing w:line="276" w:lineRule="auto"/>
              <w:rPr>
                <w:b/>
                <w:color w:val="000000"/>
                <w:sz w:val="18"/>
                <w:lang w:val="fr-FR"/>
              </w:rPr>
            </w:pPr>
            <w:r w:rsidRPr="00E93B92">
              <w:rPr>
                <w:b/>
                <w:color w:val="000000"/>
                <w:sz w:val="18"/>
                <w:lang w:val="fr-FR"/>
              </w:rPr>
              <w:t xml:space="preserve">Urbain </w:t>
            </w:r>
          </w:p>
        </w:tc>
      </w:tr>
      <w:tr w:rsidR="00CD06FF" w:rsidRPr="00CD06FF" w:rsidTr="00B71611">
        <w:tc>
          <w:tcPr>
            <w:tcW w:w="3369" w:type="dxa"/>
            <w:tcBorders>
              <w:top w:val="single" w:sz="4" w:space="0" w:color="auto"/>
              <w:left w:val="single" w:sz="4" w:space="0" w:color="auto"/>
              <w:bottom w:val="single" w:sz="4" w:space="0" w:color="auto"/>
              <w:right w:val="single" w:sz="4" w:space="0" w:color="auto"/>
            </w:tcBorders>
            <w:shd w:val="clear" w:color="auto" w:fill="EAF1DD"/>
            <w:tcMar>
              <w:top w:w="170" w:type="dxa"/>
              <w:bottom w:w="170" w:type="dxa"/>
            </w:tcMar>
            <w:vAlign w:val="center"/>
          </w:tcPr>
          <w:p w:rsidR="00CD06FF" w:rsidRDefault="00CD06FF" w:rsidP="003A214F">
            <w:pPr>
              <w:spacing w:line="276" w:lineRule="auto"/>
              <w:rPr>
                <w:sz w:val="20"/>
                <w:lang w:val="fr-FR"/>
              </w:rPr>
            </w:pPr>
            <w:r>
              <w:rPr>
                <w:sz w:val="20"/>
                <w:lang w:val="fr-FR"/>
              </w:rPr>
              <w:t>Secteur principal</w:t>
            </w:r>
          </w:p>
        </w:tc>
        <w:tc>
          <w:tcPr>
            <w:tcW w:w="7229" w:type="dxa"/>
            <w:tcBorders>
              <w:top w:val="single" w:sz="4" w:space="0" w:color="auto"/>
              <w:left w:val="single" w:sz="4" w:space="0" w:color="auto"/>
              <w:bottom w:val="single" w:sz="4" w:space="0" w:color="auto"/>
              <w:right w:val="single" w:sz="4" w:space="0" w:color="auto"/>
            </w:tcBorders>
            <w:shd w:val="clear" w:color="auto" w:fill="EEECE1"/>
            <w:tcMar>
              <w:top w:w="170" w:type="dxa"/>
              <w:bottom w:w="170" w:type="dxa"/>
            </w:tcMar>
            <w:vAlign w:val="center"/>
          </w:tcPr>
          <w:p w:rsidR="00CD06FF" w:rsidRPr="00017383" w:rsidRDefault="00CD06FF" w:rsidP="003A214F">
            <w:pPr>
              <w:spacing w:line="276" w:lineRule="auto"/>
              <w:rPr>
                <w:color w:val="000000"/>
                <w:sz w:val="18"/>
                <w:lang w:val="fr-FR"/>
              </w:rPr>
            </w:pPr>
            <w:r>
              <w:rPr>
                <w:color w:val="000000"/>
                <w:sz w:val="18"/>
                <w:lang w:val="fr-FR"/>
              </w:rPr>
              <w:t xml:space="preserve">Améliorer la sécurité alimentaire </w:t>
            </w:r>
          </w:p>
        </w:tc>
      </w:tr>
      <w:tr w:rsidR="00CD06FF" w:rsidRPr="008F3EBF" w:rsidTr="00B71611">
        <w:tc>
          <w:tcPr>
            <w:tcW w:w="3369" w:type="dxa"/>
            <w:tcBorders>
              <w:top w:val="single" w:sz="4" w:space="0" w:color="auto"/>
              <w:left w:val="single" w:sz="4" w:space="0" w:color="auto"/>
              <w:bottom w:val="single" w:sz="4" w:space="0" w:color="auto"/>
              <w:right w:val="single" w:sz="4" w:space="0" w:color="auto"/>
            </w:tcBorders>
            <w:shd w:val="clear" w:color="auto" w:fill="EAF1DD"/>
            <w:tcMar>
              <w:top w:w="170" w:type="dxa"/>
              <w:bottom w:w="170" w:type="dxa"/>
            </w:tcMar>
            <w:vAlign w:val="center"/>
          </w:tcPr>
          <w:p w:rsidR="00CD06FF" w:rsidRPr="00017383" w:rsidRDefault="00CD06FF" w:rsidP="003A214F">
            <w:pPr>
              <w:spacing w:line="276" w:lineRule="auto"/>
              <w:rPr>
                <w:sz w:val="20"/>
                <w:lang w:val="fr-WINDIES"/>
              </w:rPr>
            </w:pPr>
            <w:r>
              <w:rPr>
                <w:sz w:val="20"/>
                <w:lang w:val="fr-WINDIES"/>
              </w:rPr>
              <w:t>Secteur secondaire</w:t>
            </w:r>
          </w:p>
        </w:tc>
        <w:tc>
          <w:tcPr>
            <w:tcW w:w="7229" w:type="dxa"/>
            <w:tcBorders>
              <w:top w:val="single" w:sz="4" w:space="0" w:color="auto"/>
              <w:left w:val="single" w:sz="4" w:space="0" w:color="auto"/>
              <w:bottom w:val="single" w:sz="4" w:space="0" w:color="auto"/>
              <w:right w:val="single" w:sz="4" w:space="0" w:color="auto"/>
            </w:tcBorders>
            <w:shd w:val="clear" w:color="auto" w:fill="EEECE1"/>
            <w:tcMar>
              <w:top w:w="170" w:type="dxa"/>
              <w:bottom w:w="170" w:type="dxa"/>
            </w:tcMar>
            <w:vAlign w:val="center"/>
          </w:tcPr>
          <w:p w:rsidR="00CD06FF" w:rsidRPr="00C431D2" w:rsidRDefault="00F11271" w:rsidP="003A214F">
            <w:pPr>
              <w:spacing w:line="276" w:lineRule="auto"/>
              <w:rPr>
                <w:color w:val="000000"/>
                <w:sz w:val="18"/>
                <w:lang w:val="fr-FR"/>
              </w:rPr>
            </w:pPr>
            <w:r>
              <w:rPr>
                <w:color w:val="000000"/>
                <w:sz w:val="18"/>
                <w:lang w:val="fr-FR"/>
              </w:rPr>
              <w:t>Appuyer la r</w:t>
            </w:r>
            <w:r w:rsidR="00CD06FF">
              <w:rPr>
                <w:color w:val="000000"/>
                <w:sz w:val="18"/>
                <w:lang w:val="fr-FR"/>
              </w:rPr>
              <w:t>econstru</w:t>
            </w:r>
            <w:r>
              <w:rPr>
                <w:color w:val="000000"/>
                <w:sz w:val="18"/>
                <w:lang w:val="fr-FR"/>
              </w:rPr>
              <w:t>ction d</w:t>
            </w:r>
            <w:r w:rsidR="00CD06FF">
              <w:rPr>
                <w:color w:val="000000"/>
                <w:sz w:val="18"/>
                <w:lang w:val="fr-FR"/>
              </w:rPr>
              <w:t>es moyens d’existence des bénéficiaires</w:t>
            </w:r>
          </w:p>
        </w:tc>
      </w:tr>
      <w:tr w:rsidR="00CD06FF" w:rsidRPr="00CD06FF" w:rsidTr="00B71611">
        <w:tc>
          <w:tcPr>
            <w:tcW w:w="3369" w:type="dxa"/>
            <w:tcBorders>
              <w:top w:val="single" w:sz="4" w:space="0" w:color="auto"/>
              <w:left w:val="single" w:sz="4" w:space="0" w:color="auto"/>
              <w:bottom w:val="single" w:sz="4" w:space="0" w:color="auto"/>
              <w:right w:val="single" w:sz="4" w:space="0" w:color="auto"/>
            </w:tcBorders>
            <w:shd w:val="clear" w:color="auto" w:fill="EAF1DD"/>
            <w:tcMar>
              <w:top w:w="170" w:type="dxa"/>
              <w:bottom w:w="170" w:type="dxa"/>
            </w:tcMar>
            <w:vAlign w:val="center"/>
          </w:tcPr>
          <w:p w:rsidR="00CD06FF" w:rsidRPr="00C431D2" w:rsidRDefault="00CD06FF" w:rsidP="003A214F">
            <w:pPr>
              <w:spacing w:line="276" w:lineRule="auto"/>
              <w:rPr>
                <w:sz w:val="20"/>
                <w:lang w:val="fr-FR"/>
              </w:rPr>
            </w:pPr>
            <w:r w:rsidRPr="00017383">
              <w:rPr>
                <w:sz w:val="20"/>
                <w:lang w:val="fr-WINDIES"/>
              </w:rPr>
              <w:t>Période</w:t>
            </w:r>
            <w:r>
              <w:rPr>
                <w:sz w:val="20"/>
                <w:lang w:val="fr-WINDIES"/>
              </w:rPr>
              <w:t xml:space="preserve"> de mise en œuvre</w:t>
            </w:r>
          </w:p>
        </w:tc>
        <w:tc>
          <w:tcPr>
            <w:tcW w:w="7229" w:type="dxa"/>
            <w:tcBorders>
              <w:top w:val="single" w:sz="4" w:space="0" w:color="auto"/>
              <w:left w:val="single" w:sz="4" w:space="0" w:color="auto"/>
              <w:bottom w:val="single" w:sz="4" w:space="0" w:color="auto"/>
              <w:right w:val="single" w:sz="4" w:space="0" w:color="auto"/>
            </w:tcBorders>
            <w:shd w:val="clear" w:color="auto" w:fill="EEECE1"/>
            <w:tcMar>
              <w:top w:w="170" w:type="dxa"/>
              <w:bottom w:w="170" w:type="dxa"/>
            </w:tcMar>
            <w:vAlign w:val="center"/>
          </w:tcPr>
          <w:p w:rsidR="00CD06FF" w:rsidRPr="00C431D2" w:rsidRDefault="00F11271" w:rsidP="003A214F">
            <w:pPr>
              <w:spacing w:line="276" w:lineRule="auto"/>
              <w:rPr>
                <w:color w:val="000000"/>
                <w:sz w:val="18"/>
                <w:lang w:val="fr-FR"/>
              </w:rPr>
            </w:pPr>
            <w:r>
              <w:rPr>
                <w:color w:val="000000"/>
                <w:sz w:val="18"/>
                <w:lang w:val="fr-FR"/>
              </w:rPr>
              <w:t>05/06/2012 – 04/01</w:t>
            </w:r>
            <w:r w:rsidR="00CD06FF">
              <w:rPr>
                <w:color w:val="000000"/>
                <w:sz w:val="18"/>
                <w:lang w:val="fr-FR"/>
              </w:rPr>
              <w:t>/ 2013</w:t>
            </w:r>
          </w:p>
        </w:tc>
      </w:tr>
      <w:tr w:rsidR="00CD06FF" w:rsidRPr="008F3EBF" w:rsidTr="00B71611">
        <w:tc>
          <w:tcPr>
            <w:tcW w:w="3369" w:type="dxa"/>
            <w:tcBorders>
              <w:top w:val="single" w:sz="4" w:space="0" w:color="auto"/>
              <w:left w:val="single" w:sz="4" w:space="0" w:color="auto"/>
              <w:bottom w:val="single" w:sz="4" w:space="0" w:color="auto"/>
              <w:right w:val="single" w:sz="4" w:space="0" w:color="auto"/>
            </w:tcBorders>
            <w:shd w:val="clear" w:color="auto" w:fill="EAF1DD"/>
            <w:tcMar>
              <w:top w:w="170" w:type="dxa"/>
              <w:bottom w:w="170" w:type="dxa"/>
            </w:tcMar>
            <w:vAlign w:val="center"/>
          </w:tcPr>
          <w:p w:rsidR="00CD06FF" w:rsidRPr="00017383" w:rsidRDefault="00CD06FF" w:rsidP="003A214F">
            <w:pPr>
              <w:spacing w:line="276" w:lineRule="auto"/>
              <w:rPr>
                <w:sz w:val="20"/>
                <w:lang w:val="fr-FR"/>
              </w:rPr>
            </w:pPr>
            <w:r w:rsidRPr="00017383">
              <w:rPr>
                <w:sz w:val="20"/>
                <w:lang w:val="fr-FR"/>
              </w:rPr>
              <w:t xml:space="preserve">Titre du projet </w:t>
            </w:r>
            <w:r>
              <w:rPr>
                <w:sz w:val="20"/>
                <w:lang w:val="fr-FR"/>
              </w:rPr>
              <w:t>(</w:t>
            </w:r>
            <w:r w:rsidRPr="00017383">
              <w:rPr>
                <w:sz w:val="20"/>
                <w:lang w:val="fr-FR"/>
              </w:rPr>
              <w:t>et bailleur)</w:t>
            </w:r>
          </w:p>
        </w:tc>
        <w:tc>
          <w:tcPr>
            <w:tcW w:w="7229" w:type="dxa"/>
            <w:tcBorders>
              <w:top w:val="single" w:sz="4" w:space="0" w:color="auto"/>
              <w:left w:val="single" w:sz="4" w:space="0" w:color="auto"/>
              <w:bottom w:val="single" w:sz="4" w:space="0" w:color="auto"/>
              <w:right w:val="single" w:sz="4" w:space="0" w:color="auto"/>
            </w:tcBorders>
            <w:shd w:val="clear" w:color="auto" w:fill="EEECE1"/>
            <w:tcMar>
              <w:top w:w="170" w:type="dxa"/>
              <w:bottom w:w="170" w:type="dxa"/>
            </w:tcMar>
            <w:vAlign w:val="center"/>
          </w:tcPr>
          <w:p w:rsidR="00CD06FF" w:rsidRPr="00017383" w:rsidRDefault="00191895" w:rsidP="003A214F">
            <w:pPr>
              <w:spacing w:line="276" w:lineRule="auto"/>
              <w:rPr>
                <w:color w:val="000000"/>
                <w:sz w:val="18"/>
                <w:lang w:val="fr-FR"/>
              </w:rPr>
            </w:pPr>
            <w:r>
              <w:rPr>
                <w:color w:val="000000"/>
                <w:sz w:val="18"/>
                <w:lang w:val="fr-FR"/>
              </w:rPr>
              <w:t>« </w:t>
            </w:r>
            <w:r w:rsidR="00CD06FF" w:rsidRPr="00CD06FF">
              <w:rPr>
                <w:color w:val="000000"/>
                <w:sz w:val="18"/>
                <w:lang w:val="fr-FR"/>
              </w:rPr>
              <w:t>Atténuer les conséquences négatives persistantes de la crise postélectorale ivoirienne sur la sécurité alimentaire et les moyens d’existence des ménages les plus pauvres d’Abidjan</w:t>
            </w:r>
            <w:r>
              <w:rPr>
                <w:color w:val="000000"/>
                <w:sz w:val="18"/>
                <w:lang w:val="fr-FR"/>
              </w:rPr>
              <w:t> »</w:t>
            </w:r>
            <w:r w:rsidR="00CD06FF">
              <w:rPr>
                <w:color w:val="000000"/>
                <w:sz w:val="18"/>
                <w:lang w:val="fr-FR"/>
              </w:rPr>
              <w:t xml:space="preserve"> </w:t>
            </w:r>
            <w:r w:rsidRPr="00B90A12">
              <w:rPr>
                <w:color w:val="000000"/>
                <w:sz w:val="18"/>
                <w:lang w:val="fr-FR"/>
              </w:rPr>
              <w:t>(financé par la DG ECHO)</w:t>
            </w:r>
          </w:p>
        </w:tc>
      </w:tr>
      <w:tr w:rsidR="00CD06FF" w:rsidRPr="008F3EBF" w:rsidTr="00B71611">
        <w:tc>
          <w:tcPr>
            <w:tcW w:w="3369" w:type="dxa"/>
            <w:tcBorders>
              <w:top w:val="single" w:sz="4" w:space="0" w:color="auto"/>
              <w:left w:val="single" w:sz="4" w:space="0" w:color="auto"/>
              <w:bottom w:val="single" w:sz="4" w:space="0" w:color="auto"/>
              <w:right w:val="single" w:sz="4" w:space="0" w:color="auto"/>
            </w:tcBorders>
            <w:shd w:val="clear" w:color="auto" w:fill="EAF1DD"/>
            <w:tcMar>
              <w:top w:w="170" w:type="dxa"/>
              <w:bottom w:w="170" w:type="dxa"/>
            </w:tcMar>
            <w:vAlign w:val="center"/>
          </w:tcPr>
          <w:p w:rsidR="00CD06FF" w:rsidRPr="00017383" w:rsidRDefault="00CD06FF" w:rsidP="003A214F">
            <w:pPr>
              <w:spacing w:line="276" w:lineRule="auto"/>
              <w:rPr>
                <w:sz w:val="20"/>
                <w:lang w:val="fr-FR"/>
              </w:rPr>
            </w:pPr>
            <w:r>
              <w:rPr>
                <w:sz w:val="20"/>
                <w:lang w:val="fr-FR"/>
              </w:rPr>
              <w:t>Partenaires de mise en œuvre</w:t>
            </w:r>
          </w:p>
        </w:tc>
        <w:tc>
          <w:tcPr>
            <w:tcW w:w="7229" w:type="dxa"/>
            <w:tcBorders>
              <w:top w:val="single" w:sz="4" w:space="0" w:color="auto"/>
              <w:left w:val="single" w:sz="4" w:space="0" w:color="auto"/>
              <w:bottom w:val="single" w:sz="4" w:space="0" w:color="auto"/>
              <w:right w:val="single" w:sz="4" w:space="0" w:color="auto"/>
            </w:tcBorders>
            <w:shd w:val="clear" w:color="auto" w:fill="EEECE1"/>
            <w:tcMar>
              <w:top w:w="170" w:type="dxa"/>
              <w:bottom w:w="170" w:type="dxa"/>
            </w:tcMar>
            <w:vAlign w:val="center"/>
          </w:tcPr>
          <w:p w:rsidR="00CD06FF" w:rsidRPr="00017383" w:rsidRDefault="00191895" w:rsidP="003A214F">
            <w:pPr>
              <w:spacing w:line="276" w:lineRule="auto"/>
              <w:rPr>
                <w:color w:val="000000"/>
                <w:sz w:val="18"/>
                <w:lang w:val="fr-FR"/>
              </w:rPr>
            </w:pPr>
            <w:r>
              <w:rPr>
                <w:color w:val="000000"/>
                <w:sz w:val="18"/>
                <w:lang w:val="fr-FR"/>
              </w:rPr>
              <w:t>MTN, opérateur de téléphonie mobile, a été en charge des transferts de liquidités aux bénéficiaires</w:t>
            </w:r>
            <w:r w:rsidR="00F11271">
              <w:rPr>
                <w:color w:val="000000"/>
                <w:sz w:val="18"/>
                <w:lang w:val="fr-FR"/>
              </w:rPr>
              <w:t xml:space="preserve"> (Prestation de service)</w:t>
            </w:r>
          </w:p>
        </w:tc>
      </w:tr>
      <w:tr w:rsidR="00CD06FF" w:rsidRPr="009C31AB" w:rsidTr="00B71611">
        <w:tc>
          <w:tcPr>
            <w:tcW w:w="3369" w:type="dxa"/>
            <w:tcBorders>
              <w:top w:val="single" w:sz="4" w:space="0" w:color="auto"/>
              <w:left w:val="single" w:sz="4" w:space="0" w:color="auto"/>
              <w:bottom w:val="single" w:sz="4" w:space="0" w:color="auto"/>
              <w:right w:val="single" w:sz="4" w:space="0" w:color="auto"/>
            </w:tcBorders>
            <w:shd w:val="clear" w:color="auto" w:fill="EAF1DD"/>
            <w:tcMar>
              <w:top w:w="170" w:type="dxa"/>
              <w:bottom w:w="170" w:type="dxa"/>
            </w:tcMar>
            <w:vAlign w:val="center"/>
          </w:tcPr>
          <w:p w:rsidR="00CD06FF" w:rsidRDefault="00CD06FF" w:rsidP="003A214F">
            <w:pPr>
              <w:spacing w:line="276" w:lineRule="auto"/>
              <w:rPr>
                <w:sz w:val="20"/>
                <w:lang w:val="fr-FR"/>
              </w:rPr>
            </w:pPr>
            <w:r w:rsidRPr="00017383">
              <w:rPr>
                <w:sz w:val="20"/>
                <w:lang w:val="fr-FR"/>
              </w:rPr>
              <w:t>Bénéfi</w:t>
            </w:r>
            <w:r>
              <w:rPr>
                <w:sz w:val="20"/>
                <w:lang w:val="fr-FR"/>
              </w:rPr>
              <w:t>ci</w:t>
            </w:r>
            <w:r w:rsidRPr="00017383">
              <w:rPr>
                <w:sz w:val="20"/>
                <w:lang w:val="fr-FR"/>
              </w:rPr>
              <w:t>aires</w:t>
            </w:r>
            <w:r>
              <w:rPr>
                <w:sz w:val="20"/>
                <w:lang w:val="fr-FR"/>
              </w:rPr>
              <w:t xml:space="preserve"> (Nombre de ménages)</w:t>
            </w:r>
          </w:p>
        </w:tc>
        <w:tc>
          <w:tcPr>
            <w:tcW w:w="7229" w:type="dxa"/>
            <w:tcBorders>
              <w:top w:val="single" w:sz="4" w:space="0" w:color="auto"/>
              <w:left w:val="single" w:sz="4" w:space="0" w:color="auto"/>
              <w:bottom w:val="single" w:sz="4" w:space="0" w:color="auto"/>
              <w:right w:val="single" w:sz="4" w:space="0" w:color="auto"/>
            </w:tcBorders>
            <w:shd w:val="clear" w:color="auto" w:fill="EEECE1"/>
            <w:tcMar>
              <w:top w:w="170" w:type="dxa"/>
              <w:bottom w:w="170" w:type="dxa"/>
            </w:tcMar>
            <w:vAlign w:val="center"/>
          </w:tcPr>
          <w:p w:rsidR="00CD06FF" w:rsidRPr="0059381A" w:rsidRDefault="00191895" w:rsidP="003A214F">
            <w:pPr>
              <w:spacing w:line="276" w:lineRule="auto"/>
              <w:rPr>
                <w:color w:val="000000"/>
                <w:sz w:val="18"/>
                <w:lang w:val="fr-FR"/>
              </w:rPr>
            </w:pPr>
            <w:r>
              <w:rPr>
                <w:color w:val="000000"/>
                <w:sz w:val="18"/>
                <w:lang w:val="fr-FR"/>
              </w:rPr>
              <w:t>1 800 ménages</w:t>
            </w:r>
          </w:p>
        </w:tc>
      </w:tr>
      <w:tr w:rsidR="00CD06FF" w:rsidRPr="008F3EBF" w:rsidTr="00B71611">
        <w:tc>
          <w:tcPr>
            <w:tcW w:w="3369" w:type="dxa"/>
            <w:tcBorders>
              <w:top w:val="single" w:sz="4" w:space="0" w:color="auto"/>
              <w:left w:val="single" w:sz="4" w:space="0" w:color="auto"/>
              <w:bottom w:val="single" w:sz="4" w:space="0" w:color="auto"/>
              <w:right w:val="single" w:sz="4" w:space="0" w:color="auto"/>
            </w:tcBorders>
            <w:shd w:val="clear" w:color="auto" w:fill="EAF1DD"/>
            <w:tcMar>
              <w:top w:w="170" w:type="dxa"/>
              <w:bottom w:w="170" w:type="dxa"/>
            </w:tcMar>
            <w:vAlign w:val="center"/>
          </w:tcPr>
          <w:p w:rsidR="00CD06FF" w:rsidRDefault="00CD06FF" w:rsidP="003A214F">
            <w:pPr>
              <w:spacing w:line="276" w:lineRule="auto"/>
              <w:rPr>
                <w:sz w:val="20"/>
                <w:lang w:val="fr-WINDIES"/>
              </w:rPr>
            </w:pPr>
            <w:r>
              <w:rPr>
                <w:sz w:val="20"/>
                <w:lang w:val="fr-WINDIES"/>
              </w:rPr>
              <w:t>Groupe cible</w:t>
            </w:r>
          </w:p>
        </w:tc>
        <w:tc>
          <w:tcPr>
            <w:tcW w:w="7229" w:type="dxa"/>
            <w:tcBorders>
              <w:top w:val="single" w:sz="4" w:space="0" w:color="auto"/>
              <w:left w:val="single" w:sz="4" w:space="0" w:color="auto"/>
              <w:bottom w:val="single" w:sz="4" w:space="0" w:color="auto"/>
              <w:right w:val="single" w:sz="4" w:space="0" w:color="auto"/>
            </w:tcBorders>
            <w:shd w:val="clear" w:color="auto" w:fill="EEECE1"/>
            <w:tcMar>
              <w:top w:w="170" w:type="dxa"/>
              <w:bottom w:w="170" w:type="dxa"/>
            </w:tcMar>
            <w:vAlign w:val="center"/>
          </w:tcPr>
          <w:p w:rsidR="00CD06FF" w:rsidRPr="0059381A" w:rsidRDefault="00191895" w:rsidP="003A214F">
            <w:pPr>
              <w:spacing w:line="276" w:lineRule="auto"/>
              <w:rPr>
                <w:color w:val="000000"/>
                <w:sz w:val="18"/>
                <w:lang w:val="fr-FR"/>
              </w:rPr>
            </w:pPr>
            <w:r w:rsidRPr="00B90A12">
              <w:rPr>
                <w:color w:val="000000"/>
                <w:sz w:val="18"/>
                <w:lang w:val="fr-FR"/>
              </w:rPr>
              <w:t>Ménages vulnérables affectés par la crise postélectorale</w:t>
            </w:r>
          </w:p>
        </w:tc>
      </w:tr>
      <w:tr w:rsidR="00CD06FF" w:rsidRPr="008F3EBF" w:rsidTr="00B71611">
        <w:tc>
          <w:tcPr>
            <w:tcW w:w="3369" w:type="dxa"/>
            <w:tcBorders>
              <w:top w:val="single" w:sz="4" w:space="0" w:color="auto"/>
              <w:left w:val="single" w:sz="4" w:space="0" w:color="auto"/>
              <w:bottom w:val="single" w:sz="4" w:space="0" w:color="auto"/>
              <w:right w:val="single" w:sz="4" w:space="0" w:color="auto"/>
            </w:tcBorders>
            <w:shd w:val="clear" w:color="auto" w:fill="EAF1DD"/>
            <w:tcMar>
              <w:top w:w="170" w:type="dxa"/>
              <w:bottom w:w="170" w:type="dxa"/>
            </w:tcMar>
            <w:vAlign w:val="center"/>
          </w:tcPr>
          <w:p w:rsidR="00CD06FF" w:rsidRPr="00017383" w:rsidRDefault="00CD06FF" w:rsidP="003A214F">
            <w:pPr>
              <w:spacing w:line="276" w:lineRule="auto"/>
              <w:rPr>
                <w:sz w:val="20"/>
                <w:lang w:val="fr-WINDIES"/>
              </w:rPr>
            </w:pPr>
            <w:r>
              <w:rPr>
                <w:sz w:val="20"/>
                <w:lang w:val="fr-WINDIES"/>
              </w:rPr>
              <w:t>Type de Ciblage</w:t>
            </w:r>
          </w:p>
        </w:tc>
        <w:tc>
          <w:tcPr>
            <w:tcW w:w="7229" w:type="dxa"/>
            <w:tcBorders>
              <w:top w:val="single" w:sz="4" w:space="0" w:color="auto"/>
              <w:left w:val="single" w:sz="4" w:space="0" w:color="auto"/>
              <w:bottom w:val="single" w:sz="4" w:space="0" w:color="auto"/>
              <w:right w:val="single" w:sz="4" w:space="0" w:color="auto"/>
            </w:tcBorders>
            <w:shd w:val="clear" w:color="auto" w:fill="EEECE1"/>
            <w:tcMar>
              <w:top w:w="170" w:type="dxa"/>
              <w:bottom w:w="170" w:type="dxa"/>
            </w:tcMar>
            <w:vAlign w:val="center"/>
          </w:tcPr>
          <w:p w:rsidR="00191895" w:rsidRPr="00F11271" w:rsidRDefault="00F11271" w:rsidP="003A214F">
            <w:pPr>
              <w:spacing w:line="276" w:lineRule="auto"/>
              <w:rPr>
                <w:color w:val="000000"/>
                <w:sz w:val="18"/>
                <w:lang w:val="fr-FR"/>
              </w:rPr>
            </w:pPr>
            <w:r w:rsidRPr="00F11271">
              <w:rPr>
                <w:color w:val="000000"/>
                <w:sz w:val="18"/>
                <w:lang w:val="fr-FR"/>
              </w:rPr>
              <w:t>1-</w:t>
            </w:r>
            <w:r>
              <w:rPr>
                <w:color w:val="000000"/>
                <w:sz w:val="18"/>
                <w:lang w:val="fr-FR"/>
              </w:rPr>
              <w:t xml:space="preserve"> </w:t>
            </w:r>
            <w:r w:rsidR="00191895" w:rsidRPr="00F11271">
              <w:rPr>
                <w:color w:val="000000"/>
                <w:sz w:val="18"/>
                <w:lang w:val="fr-FR"/>
              </w:rPr>
              <w:t xml:space="preserve">La sélection des ménages bénéficiaires s’est faite en </w:t>
            </w:r>
            <w:r w:rsidR="00191895" w:rsidRPr="00372B4E">
              <w:rPr>
                <w:color w:val="000000"/>
                <w:sz w:val="18"/>
                <w:u w:val="single"/>
                <w:lang w:val="fr-FR"/>
              </w:rPr>
              <w:t>2 phases</w:t>
            </w:r>
            <w:r w:rsidR="00191895" w:rsidRPr="00F11271">
              <w:rPr>
                <w:color w:val="000000"/>
                <w:sz w:val="18"/>
                <w:lang w:val="fr-FR"/>
              </w:rPr>
              <w:t xml:space="preserve">, une phase de présélection de 2300 ménages, puis la phase de sélection finale des 1800 ménages bénéficiaires. </w:t>
            </w:r>
          </w:p>
          <w:p w:rsidR="00A923B6" w:rsidRPr="008F3EBF" w:rsidRDefault="00A923B6" w:rsidP="003A214F">
            <w:pPr>
              <w:spacing w:line="276" w:lineRule="auto"/>
              <w:rPr>
                <w:color w:val="000000"/>
                <w:sz w:val="12"/>
                <w:szCs w:val="12"/>
                <w:lang w:val="fr-FR"/>
              </w:rPr>
            </w:pPr>
          </w:p>
          <w:p w:rsidR="00191895" w:rsidRDefault="00262A45" w:rsidP="003A214F">
            <w:pPr>
              <w:spacing w:line="276" w:lineRule="auto"/>
              <w:rPr>
                <w:color w:val="000000"/>
                <w:sz w:val="18"/>
                <w:lang w:val="fr-FR"/>
              </w:rPr>
            </w:pPr>
            <w:r>
              <w:rPr>
                <w:color w:val="000000"/>
                <w:sz w:val="18"/>
                <w:lang w:val="fr-FR"/>
              </w:rPr>
              <w:t xml:space="preserve">Les critères retenus pour la </w:t>
            </w:r>
            <w:r w:rsidR="00F11271" w:rsidRPr="008F3EBF">
              <w:rPr>
                <w:color w:val="000000"/>
                <w:sz w:val="18"/>
                <w:u w:val="single"/>
                <w:lang w:val="fr-FR"/>
              </w:rPr>
              <w:t>présélection des ménages</w:t>
            </w:r>
            <w:r w:rsidR="00F11271">
              <w:rPr>
                <w:color w:val="000000"/>
                <w:sz w:val="18"/>
                <w:lang w:val="fr-FR"/>
              </w:rPr>
              <w:t xml:space="preserve"> </w:t>
            </w:r>
            <w:r>
              <w:rPr>
                <w:color w:val="000000"/>
                <w:sz w:val="18"/>
                <w:lang w:val="fr-FR"/>
              </w:rPr>
              <w:t>ont été :</w:t>
            </w:r>
          </w:p>
          <w:p w:rsidR="008F3EBF" w:rsidRPr="008F3EBF" w:rsidRDefault="008F3EBF" w:rsidP="008F3EBF">
            <w:pPr>
              <w:spacing w:line="276" w:lineRule="auto"/>
              <w:rPr>
                <w:color w:val="000000"/>
                <w:sz w:val="12"/>
                <w:szCs w:val="12"/>
                <w:lang w:val="fr-FR"/>
              </w:rPr>
            </w:pPr>
          </w:p>
          <w:p w:rsidR="00191895" w:rsidRPr="00262A45" w:rsidRDefault="00262A45" w:rsidP="003A214F">
            <w:pPr>
              <w:pStyle w:val="Paragraphedeliste"/>
              <w:numPr>
                <w:ilvl w:val="0"/>
                <w:numId w:val="4"/>
              </w:numPr>
              <w:spacing w:line="276" w:lineRule="auto"/>
              <w:ind w:left="283" w:hanging="357"/>
              <w:rPr>
                <w:color w:val="000000"/>
                <w:sz w:val="18"/>
                <w:lang w:val="fr-FR"/>
              </w:rPr>
            </w:pPr>
            <w:r>
              <w:rPr>
                <w:color w:val="000000"/>
                <w:sz w:val="18"/>
                <w:lang w:val="fr-FR"/>
              </w:rPr>
              <w:t xml:space="preserve">Pour les bénéficiaires de </w:t>
            </w:r>
            <w:proofErr w:type="spellStart"/>
            <w:r w:rsidR="00191895" w:rsidRPr="00262A45">
              <w:rPr>
                <w:color w:val="000000"/>
                <w:sz w:val="18"/>
                <w:lang w:val="fr-FR"/>
              </w:rPr>
              <w:t>TsC</w:t>
            </w:r>
            <w:proofErr w:type="spellEnd"/>
            <w:r w:rsidR="00191895" w:rsidRPr="00262A45">
              <w:rPr>
                <w:color w:val="000000"/>
                <w:sz w:val="18"/>
                <w:lang w:val="fr-FR"/>
              </w:rPr>
              <w:t> :</w:t>
            </w:r>
          </w:p>
          <w:p w:rsidR="00191895" w:rsidRPr="008F3EBF" w:rsidRDefault="00191895" w:rsidP="003A214F">
            <w:pPr>
              <w:keepNext/>
              <w:spacing w:line="276" w:lineRule="auto"/>
              <w:rPr>
                <w:color w:val="000000"/>
                <w:sz w:val="8"/>
                <w:szCs w:val="8"/>
                <w:lang w:val="fr-FR"/>
              </w:rPr>
            </w:pPr>
          </w:p>
          <w:p w:rsidR="00191895" w:rsidRPr="00262A45" w:rsidRDefault="00191895" w:rsidP="008F3EBF">
            <w:pPr>
              <w:pStyle w:val="Paragraphedeliste"/>
              <w:numPr>
                <w:ilvl w:val="0"/>
                <w:numId w:val="2"/>
              </w:numPr>
              <w:spacing w:line="276" w:lineRule="auto"/>
              <w:ind w:left="459"/>
              <w:rPr>
                <w:color w:val="000000"/>
                <w:sz w:val="18"/>
                <w:lang w:val="fr-FR"/>
              </w:rPr>
            </w:pPr>
            <w:r w:rsidRPr="00262A45">
              <w:rPr>
                <w:color w:val="000000"/>
                <w:sz w:val="18"/>
                <w:lang w:val="fr-FR"/>
              </w:rPr>
              <w:lastRenderedPageBreak/>
              <w:t>Absence dans le ménage de personne capable de mener une activité en raison d’une invalidité (âge avancé du chef de ménage, handicap, maladie, etc.) ;</w:t>
            </w:r>
          </w:p>
          <w:p w:rsidR="00191895" w:rsidRPr="00262A45" w:rsidRDefault="00191895" w:rsidP="008F3EBF">
            <w:pPr>
              <w:pStyle w:val="Paragraphedeliste"/>
              <w:numPr>
                <w:ilvl w:val="0"/>
                <w:numId w:val="2"/>
              </w:numPr>
              <w:spacing w:line="276" w:lineRule="auto"/>
              <w:ind w:left="459"/>
              <w:rPr>
                <w:color w:val="000000"/>
                <w:sz w:val="18"/>
                <w:lang w:val="fr-FR"/>
              </w:rPr>
            </w:pPr>
            <w:r w:rsidRPr="00262A45">
              <w:rPr>
                <w:color w:val="000000"/>
                <w:sz w:val="18"/>
                <w:lang w:val="fr-FR"/>
              </w:rPr>
              <w:t>Présence d'un nombre important de personnes à charge du ménage (au moins 5 personnes à charge pour un ménage de 7 personnes).</w:t>
            </w:r>
          </w:p>
          <w:p w:rsidR="00191895" w:rsidRPr="008F3EBF" w:rsidRDefault="00191895" w:rsidP="003A214F">
            <w:pPr>
              <w:pStyle w:val="Paragraphedeliste"/>
              <w:spacing w:line="276" w:lineRule="auto"/>
              <w:rPr>
                <w:color w:val="000000"/>
                <w:sz w:val="12"/>
                <w:szCs w:val="12"/>
                <w:lang w:val="fr-FR"/>
              </w:rPr>
            </w:pPr>
          </w:p>
          <w:p w:rsidR="00191895" w:rsidRPr="00262A45" w:rsidRDefault="00191895" w:rsidP="003A214F">
            <w:pPr>
              <w:spacing w:line="276" w:lineRule="auto"/>
              <w:rPr>
                <w:color w:val="000000"/>
                <w:sz w:val="18"/>
                <w:lang w:val="fr-FR"/>
              </w:rPr>
            </w:pPr>
            <w:r w:rsidRPr="00262A45">
              <w:rPr>
                <w:color w:val="000000"/>
                <w:sz w:val="18"/>
                <w:lang w:val="fr-FR"/>
              </w:rPr>
              <w:t xml:space="preserve">D’autres </w:t>
            </w:r>
            <w:r w:rsidRPr="008F3EBF">
              <w:rPr>
                <w:color w:val="000000"/>
                <w:sz w:val="18"/>
                <w:u w:val="single"/>
                <w:lang w:val="fr-FR"/>
              </w:rPr>
              <w:t>critères additionnels</w:t>
            </w:r>
            <w:r w:rsidRPr="00262A45">
              <w:rPr>
                <w:color w:val="000000"/>
                <w:sz w:val="18"/>
                <w:lang w:val="fr-FR"/>
              </w:rPr>
              <w:t xml:space="preserve"> étaient éventuellement pris en compte</w:t>
            </w:r>
            <w:r w:rsidR="00262A45">
              <w:rPr>
                <w:color w:val="000000"/>
                <w:sz w:val="18"/>
                <w:lang w:val="fr-FR"/>
              </w:rPr>
              <w:t xml:space="preserve">, dans le cas où il s’avérait nécessaire de faire un </w:t>
            </w:r>
            <w:r w:rsidRPr="00262A45">
              <w:rPr>
                <w:color w:val="000000"/>
                <w:sz w:val="18"/>
                <w:lang w:val="fr-FR"/>
              </w:rPr>
              <w:t>arbitrage pour présélectionner le</w:t>
            </w:r>
            <w:r w:rsidR="00262A45">
              <w:rPr>
                <w:color w:val="000000"/>
                <w:sz w:val="18"/>
                <w:lang w:val="fr-FR"/>
              </w:rPr>
              <w:t>s</w:t>
            </w:r>
            <w:r w:rsidRPr="00262A45">
              <w:rPr>
                <w:color w:val="000000"/>
                <w:sz w:val="18"/>
                <w:lang w:val="fr-FR"/>
              </w:rPr>
              <w:t xml:space="preserve"> ménage</w:t>
            </w:r>
            <w:r w:rsidR="00262A45">
              <w:rPr>
                <w:color w:val="000000"/>
                <w:sz w:val="18"/>
                <w:lang w:val="fr-FR"/>
              </w:rPr>
              <w:t>s</w:t>
            </w:r>
            <w:r w:rsidR="00F11271">
              <w:rPr>
                <w:color w:val="000000"/>
                <w:sz w:val="18"/>
                <w:lang w:val="fr-FR"/>
              </w:rPr>
              <w:t xml:space="preserve"> les plus vulnérables. </w:t>
            </w:r>
            <w:r w:rsidR="00262A45">
              <w:rPr>
                <w:color w:val="000000"/>
                <w:sz w:val="18"/>
                <w:lang w:val="fr-FR"/>
              </w:rPr>
              <w:t xml:space="preserve">Ces critères additionnels </w:t>
            </w:r>
            <w:r w:rsidRPr="00262A45">
              <w:rPr>
                <w:color w:val="000000"/>
                <w:sz w:val="18"/>
                <w:lang w:val="fr-FR"/>
              </w:rPr>
              <w:t>ont</w:t>
            </w:r>
            <w:r w:rsidR="00262A45">
              <w:rPr>
                <w:color w:val="000000"/>
                <w:sz w:val="18"/>
                <w:lang w:val="fr-FR"/>
              </w:rPr>
              <w:t xml:space="preserve"> été</w:t>
            </w:r>
            <w:r w:rsidRPr="00262A45">
              <w:rPr>
                <w:color w:val="000000"/>
                <w:sz w:val="18"/>
                <w:lang w:val="fr-FR"/>
              </w:rPr>
              <w:t> :</w:t>
            </w:r>
          </w:p>
          <w:p w:rsidR="00191895" w:rsidRPr="008F3EBF" w:rsidRDefault="00191895" w:rsidP="003A214F">
            <w:pPr>
              <w:keepNext/>
              <w:spacing w:line="276" w:lineRule="auto"/>
              <w:rPr>
                <w:color w:val="000000"/>
                <w:sz w:val="12"/>
                <w:szCs w:val="12"/>
                <w:lang w:val="fr-FR"/>
              </w:rPr>
            </w:pPr>
          </w:p>
          <w:p w:rsidR="00191895" w:rsidRPr="00262A45" w:rsidRDefault="00191895" w:rsidP="008F3EBF">
            <w:pPr>
              <w:pStyle w:val="Paragraphedeliste"/>
              <w:numPr>
                <w:ilvl w:val="0"/>
                <w:numId w:val="2"/>
              </w:numPr>
              <w:spacing w:line="276" w:lineRule="auto"/>
              <w:ind w:left="459"/>
              <w:rPr>
                <w:color w:val="000000"/>
                <w:sz w:val="18"/>
                <w:lang w:val="fr-FR"/>
              </w:rPr>
            </w:pPr>
            <w:r w:rsidRPr="00262A45">
              <w:rPr>
                <w:color w:val="000000"/>
                <w:sz w:val="18"/>
                <w:lang w:val="fr-FR"/>
              </w:rPr>
              <w:t>La présence d’au moins un enfant déscolarisé dans le ménage ;</w:t>
            </w:r>
          </w:p>
          <w:p w:rsidR="00191895" w:rsidRPr="00262A45" w:rsidRDefault="00191895" w:rsidP="008F3EBF">
            <w:pPr>
              <w:pStyle w:val="Paragraphedeliste"/>
              <w:numPr>
                <w:ilvl w:val="0"/>
                <w:numId w:val="2"/>
              </w:numPr>
              <w:spacing w:line="276" w:lineRule="auto"/>
              <w:ind w:left="459"/>
              <w:rPr>
                <w:color w:val="000000"/>
                <w:sz w:val="18"/>
                <w:lang w:val="fr-FR"/>
              </w:rPr>
            </w:pPr>
            <w:r w:rsidRPr="00262A45">
              <w:rPr>
                <w:color w:val="000000"/>
                <w:sz w:val="18"/>
                <w:lang w:val="fr-FR"/>
              </w:rPr>
              <w:t>La présence de femme veuve chef de ménage ;</w:t>
            </w:r>
          </w:p>
          <w:p w:rsidR="00191895" w:rsidRPr="00262A45" w:rsidRDefault="00191895" w:rsidP="008F3EBF">
            <w:pPr>
              <w:pStyle w:val="Paragraphedeliste"/>
              <w:numPr>
                <w:ilvl w:val="0"/>
                <w:numId w:val="2"/>
              </w:numPr>
              <w:spacing w:line="276" w:lineRule="auto"/>
              <w:ind w:left="459"/>
              <w:rPr>
                <w:color w:val="000000"/>
                <w:sz w:val="18"/>
                <w:lang w:val="fr-FR"/>
              </w:rPr>
            </w:pPr>
            <w:r w:rsidRPr="00262A45">
              <w:rPr>
                <w:color w:val="000000"/>
                <w:sz w:val="18"/>
                <w:lang w:val="fr-FR"/>
              </w:rPr>
              <w:t>La situation de l'habitat (très dégradé). Ce constat s’est fait sur la base de l’observation des agents ACTED.</w:t>
            </w:r>
          </w:p>
          <w:p w:rsidR="00191895" w:rsidRPr="00262A45" w:rsidRDefault="00191895" w:rsidP="003A214F">
            <w:pPr>
              <w:keepNext/>
              <w:spacing w:line="276" w:lineRule="auto"/>
              <w:rPr>
                <w:color w:val="000000"/>
                <w:sz w:val="18"/>
                <w:lang w:val="fr-FR"/>
              </w:rPr>
            </w:pPr>
          </w:p>
          <w:p w:rsidR="00191895" w:rsidRPr="00262A45" w:rsidRDefault="00262A45" w:rsidP="003A214F">
            <w:pPr>
              <w:pStyle w:val="Paragraphedeliste"/>
              <w:numPr>
                <w:ilvl w:val="0"/>
                <w:numId w:val="4"/>
              </w:numPr>
              <w:spacing w:line="276" w:lineRule="auto"/>
              <w:ind w:left="284"/>
              <w:rPr>
                <w:color w:val="000000"/>
                <w:sz w:val="18"/>
                <w:lang w:val="fr-FR"/>
              </w:rPr>
            </w:pPr>
            <w:r>
              <w:rPr>
                <w:color w:val="000000"/>
                <w:sz w:val="18"/>
                <w:lang w:val="fr-FR"/>
              </w:rPr>
              <w:t xml:space="preserve">Pour les </w:t>
            </w:r>
            <w:r w:rsidRPr="008F3EBF">
              <w:rPr>
                <w:color w:val="000000"/>
                <w:sz w:val="18"/>
                <w:u w:val="single"/>
                <w:lang w:val="fr-FR"/>
              </w:rPr>
              <w:t xml:space="preserve">bénéficiaires de </w:t>
            </w:r>
            <w:proofErr w:type="spellStart"/>
            <w:r w:rsidR="00191895" w:rsidRPr="008F3EBF">
              <w:rPr>
                <w:color w:val="000000"/>
                <w:sz w:val="18"/>
                <w:u w:val="single"/>
                <w:lang w:val="fr-FR"/>
              </w:rPr>
              <w:t>TaC</w:t>
            </w:r>
            <w:proofErr w:type="spellEnd"/>
            <w:r>
              <w:rPr>
                <w:color w:val="000000"/>
                <w:sz w:val="18"/>
                <w:lang w:val="fr-FR"/>
              </w:rPr>
              <w:t> :</w:t>
            </w:r>
          </w:p>
          <w:p w:rsidR="00191895" w:rsidRPr="008F3EBF" w:rsidRDefault="00191895" w:rsidP="003A214F">
            <w:pPr>
              <w:keepNext/>
              <w:spacing w:line="276" w:lineRule="auto"/>
              <w:rPr>
                <w:color w:val="000000"/>
                <w:sz w:val="8"/>
                <w:szCs w:val="8"/>
                <w:lang w:val="fr-FR"/>
              </w:rPr>
            </w:pPr>
          </w:p>
          <w:p w:rsidR="00191895" w:rsidRPr="00262A45" w:rsidRDefault="00191895" w:rsidP="008F3EBF">
            <w:pPr>
              <w:pStyle w:val="Paragraphedeliste"/>
              <w:numPr>
                <w:ilvl w:val="0"/>
                <w:numId w:val="2"/>
              </w:numPr>
              <w:spacing w:line="276" w:lineRule="auto"/>
              <w:ind w:left="459"/>
              <w:rPr>
                <w:color w:val="000000"/>
                <w:sz w:val="18"/>
                <w:lang w:val="fr-FR"/>
              </w:rPr>
            </w:pPr>
            <w:r w:rsidRPr="00262A45">
              <w:rPr>
                <w:color w:val="000000"/>
                <w:sz w:val="18"/>
                <w:lang w:val="fr-FR"/>
              </w:rPr>
              <w:t>Personne ayant perdu son activité économique du fait la crise ou dont l’activité n’a pas encore atteint son niveau d'avant la crise ;</w:t>
            </w:r>
          </w:p>
          <w:p w:rsidR="00191895" w:rsidRPr="00262A45" w:rsidRDefault="00191895" w:rsidP="008F3EBF">
            <w:pPr>
              <w:pStyle w:val="Paragraphedeliste"/>
              <w:numPr>
                <w:ilvl w:val="0"/>
                <w:numId w:val="2"/>
              </w:numPr>
              <w:spacing w:line="276" w:lineRule="auto"/>
              <w:ind w:left="459"/>
              <w:rPr>
                <w:color w:val="000000"/>
                <w:sz w:val="18"/>
                <w:lang w:val="fr-FR"/>
              </w:rPr>
            </w:pPr>
            <w:r w:rsidRPr="00262A45">
              <w:rPr>
                <w:color w:val="000000"/>
                <w:sz w:val="18"/>
                <w:lang w:val="fr-FR"/>
              </w:rPr>
              <w:t>Personne ayant perdu son activité économique et qui a la volonté d'exercer une AGR ;</w:t>
            </w:r>
          </w:p>
          <w:p w:rsidR="00191895" w:rsidRDefault="00191895" w:rsidP="008F3EBF">
            <w:pPr>
              <w:pStyle w:val="Paragraphedeliste"/>
              <w:numPr>
                <w:ilvl w:val="0"/>
                <w:numId w:val="2"/>
              </w:numPr>
              <w:spacing w:line="276" w:lineRule="auto"/>
              <w:ind w:left="459"/>
              <w:rPr>
                <w:color w:val="000000"/>
                <w:sz w:val="18"/>
                <w:lang w:val="fr-FR"/>
              </w:rPr>
            </w:pPr>
            <w:r w:rsidRPr="00262A45">
              <w:rPr>
                <w:color w:val="000000"/>
                <w:sz w:val="18"/>
                <w:lang w:val="fr-FR"/>
              </w:rPr>
              <w:t>Personne ayant des problèmes d'accès quotidien à l'alimentation en raison de sa faible capacité financière.</w:t>
            </w:r>
          </w:p>
          <w:p w:rsidR="00262A45" w:rsidRPr="008F3EBF" w:rsidRDefault="00262A45" w:rsidP="003A214F">
            <w:pPr>
              <w:pStyle w:val="Paragraphedeliste"/>
              <w:spacing w:line="276" w:lineRule="auto"/>
              <w:rPr>
                <w:color w:val="000000"/>
                <w:sz w:val="12"/>
                <w:szCs w:val="12"/>
                <w:lang w:val="fr-FR"/>
              </w:rPr>
            </w:pPr>
          </w:p>
          <w:p w:rsidR="00191895" w:rsidRDefault="00A923B6" w:rsidP="003A214F">
            <w:pPr>
              <w:spacing w:line="276" w:lineRule="auto"/>
              <w:rPr>
                <w:color w:val="000000"/>
                <w:sz w:val="18"/>
                <w:lang w:val="fr-FR"/>
              </w:rPr>
            </w:pPr>
            <w:r>
              <w:rPr>
                <w:color w:val="000000"/>
                <w:sz w:val="18"/>
                <w:lang w:val="fr-FR"/>
              </w:rPr>
              <w:t>Les mêmes c</w:t>
            </w:r>
            <w:r w:rsidR="00262A45">
              <w:rPr>
                <w:color w:val="000000"/>
                <w:sz w:val="18"/>
                <w:lang w:val="fr-FR"/>
              </w:rPr>
              <w:t>ritères additionnels</w:t>
            </w:r>
            <w:r>
              <w:rPr>
                <w:color w:val="000000"/>
                <w:sz w:val="18"/>
                <w:lang w:val="fr-FR"/>
              </w:rPr>
              <w:t xml:space="preserve"> </w:t>
            </w:r>
            <w:r w:rsidR="00191895" w:rsidRPr="00262A45">
              <w:rPr>
                <w:color w:val="000000"/>
                <w:sz w:val="18"/>
                <w:lang w:val="fr-FR"/>
              </w:rPr>
              <w:t>étaient éventuellement pris en compte.</w:t>
            </w:r>
            <w:r>
              <w:rPr>
                <w:color w:val="000000"/>
                <w:sz w:val="18"/>
                <w:lang w:val="fr-FR"/>
              </w:rPr>
              <w:t xml:space="preserve"> Cette 1</w:t>
            </w:r>
            <w:r w:rsidRPr="00C04605">
              <w:rPr>
                <w:color w:val="000000"/>
                <w:sz w:val="18"/>
                <w:lang w:val="fr-FR"/>
              </w:rPr>
              <w:t>ère</w:t>
            </w:r>
            <w:r>
              <w:rPr>
                <w:color w:val="000000"/>
                <w:sz w:val="18"/>
                <w:lang w:val="fr-FR"/>
              </w:rPr>
              <w:t xml:space="preserve"> phase a permis de présélectionner 2300 ménag</w:t>
            </w:r>
            <w:r w:rsidR="00F11271">
              <w:rPr>
                <w:color w:val="000000"/>
                <w:sz w:val="18"/>
                <w:lang w:val="fr-FR"/>
              </w:rPr>
              <w:t>e</w:t>
            </w:r>
            <w:r>
              <w:rPr>
                <w:color w:val="000000"/>
                <w:sz w:val="18"/>
                <w:lang w:val="fr-FR"/>
              </w:rPr>
              <w:t>s vulnérables.</w:t>
            </w:r>
          </w:p>
          <w:p w:rsidR="00A923B6" w:rsidRPr="00262A45" w:rsidRDefault="00A923B6" w:rsidP="003A214F">
            <w:pPr>
              <w:spacing w:line="276" w:lineRule="auto"/>
              <w:rPr>
                <w:color w:val="000000"/>
                <w:sz w:val="18"/>
                <w:lang w:val="fr-FR"/>
              </w:rPr>
            </w:pPr>
          </w:p>
          <w:p w:rsidR="00191895" w:rsidRPr="00262A45" w:rsidRDefault="00A923B6" w:rsidP="003A214F">
            <w:pPr>
              <w:spacing w:line="276" w:lineRule="auto"/>
              <w:rPr>
                <w:color w:val="000000"/>
                <w:sz w:val="18"/>
                <w:lang w:val="fr-FR"/>
              </w:rPr>
            </w:pPr>
            <w:r>
              <w:rPr>
                <w:color w:val="000000"/>
                <w:sz w:val="18"/>
                <w:lang w:val="fr-FR"/>
              </w:rPr>
              <w:t xml:space="preserve">2- </w:t>
            </w:r>
            <w:r w:rsidR="00191895" w:rsidRPr="00262A45">
              <w:rPr>
                <w:color w:val="000000"/>
                <w:sz w:val="18"/>
                <w:lang w:val="fr-FR"/>
              </w:rPr>
              <w:t xml:space="preserve">Ensuite, une </w:t>
            </w:r>
            <w:r w:rsidR="00191895" w:rsidRPr="008F3EBF">
              <w:rPr>
                <w:color w:val="000000"/>
                <w:sz w:val="18"/>
                <w:u w:val="single"/>
                <w:lang w:val="fr-FR"/>
              </w:rPr>
              <w:t>enquête ménage</w:t>
            </w:r>
            <w:r w:rsidR="00191895" w:rsidRPr="00262A45">
              <w:rPr>
                <w:color w:val="000000"/>
                <w:sz w:val="18"/>
                <w:lang w:val="fr-FR"/>
              </w:rPr>
              <w:t xml:space="preserve"> a été réalisée sur cet échantillon de 2 300 ménages bénéficiaires pré-identifiés, permettant de collecter des informations sur leur niveau de vulnérabilité, en distinguant les 2 catégories de ménages (</w:t>
            </w:r>
            <w:proofErr w:type="spellStart"/>
            <w:r w:rsidR="00191895" w:rsidRPr="00262A45">
              <w:rPr>
                <w:color w:val="000000"/>
                <w:sz w:val="18"/>
                <w:lang w:val="fr-FR"/>
              </w:rPr>
              <w:t>TsC</w:t>
            </w:r>
            <w:proofErr w:type="spellEnd"/>
            <w:r w:rsidR="00191895" w:rsidRPr="00262A45">
              <w:rPr>
                <w:color w:val="000000"/>
                <w:sz w:val="18"/>
                <w:lang w:val="fr-FR"/>
              </w:rPr>
              <w:t xml:space="preserve"> et </w:t>
            </w:r>
            <w:proofErr w:type="spellStart"/>
            <w:r w:rsidR="00191895" w:rsidRPr="00262A45">
              <w:rPr>
                <w:color w:val="000000"/>
                <w:sz w:val="18"/>
                <w:lang w:val="fr-FR"/>
              </w:rPr>
              <w:t>TaC</w:t>
            </w:r>
            <w:proofErr w:type="spellEnd"/>
            <w:r w:rsidR="00191895" w:rsidRPr="00262A45">
              <w:rPr>
                <w:color w:val="000000"/>
                <w:sz w:val="18"/>
                <w:lang w:val="fr-FR"/>
              </w:rPr>
              <w:t xml:space="preserve">). </w:t>
            </w:r>
          </w:p>
          <w:p w:rsidR="00A923B6" w:rsidRPr="008F3EBF" w:rsidRDefault="00A923B6" w:rsidP="003A214F">
            <w:pPr>
              <w:spacing w:line="276" w:lineRule="auto"/>
              <w:rPr>
                <w:color w:val="000000"/>
                <w:sz w:val="12"/>
                <w:szCs w:val="12"/>
                <w:lang w:val="fr-FR"/>
              </w:rPr>
            </w:pPr>
          </w:p>
          <w:p w:rsidR="00191895" w:rsidRDefault="00191895" w:rsidP="003A214F">
            <w:pPr>
              <w:spacing w:line="276" w:lineRule="auto"/>
              <w:rPr>
                <w:color w:val="000000"/>
                <w:sz w:val="18"/>
                <w:lang w:val="fr-FR"/>
              </w:rPr>
            </w:pPr>
            <w:r w:rsidRPr="00262A45">
              <w:rPr>
                <w:color w:val="000000"/>
                <w:sz w:val="18"/>
                <w:lang w:val="fr-FR"/>
              </w:rPr>
              <w:t>Les données recueillies grâce à cette enquête ménage ont permis de sélectionner les 1800 ménages bénéficiaires du projet, sur la base de critères de sélection des ménages les plus vulnérables</w:t>
            </w:r>
            <w:r w:rsidR="00A923B6">
              <w:rPr>
                <w:color w:val="000000"/>
                <w:sz w:val="18"/>
                <w:lang w:val="fr-FR"/>
              </w:rPr>
              <w:t>, notamment :</w:t>
            </w:r>
          </w:p>
          <w:p w:rsidR="00A923B6" w:rsidRPr="008F3EBF" w:rsidRDefault="00A923B6" w:rsidP="003A214F">
            <w:pPr>
              <w:spacing w:line="276" w:lineRule="auto"/>
              <w:rPr>
                <w:color w:val="000000"/>
                <w:sz w:val="12"/>
                <w:szCs w:val="12"/>
                <w:lang w:val="fr-FR"/>
              </w:rPr>
            </w:pPr>
          </w:p>
          <w:p w:rsidR="00C04605" w:rsidRPr="00C04605" w:rsidRDefault="00C04605" w:rsidP="003A214F">
            <w:pPr>
              <w:spacing w:line="276" w:lineRule="auto"/>
              <w:jc w:val="both"/>
              <w:rPr>
                <w:color w:val="000000"/>
                <w:sz w:val="18"/>
                <w:lang w:val="fr-FR"/>
              </w:rPr>
            </w:pPr>
            <w:r>
              <w:rPr>
                <w:color w:val="000000"/>
                <w:sz w:val="18"/>
                <w:lang w:val="fr-FR"/>
              </w:rPr>
              <w:t>- Caractéristiques du ménage</w:t>
            </w:r>
            <w:r w:rsidRPr="00C04605">
              <w:rPr>
                <w:color w:val="000000"/>
                <w:sz w:val="18"/>
                <w:lang w:val="fr-FR"/>
              </w:rPr>
              <w:t> : l’état de santé du chef de ménage, le ratio du nombre de personnes dépendantes (prises en charge) du ménage par rapport au nombre de personnes exerçant une activité et le nombre d’enfants déscolarisés en âge d’aller à l’école (6 à 12 ans).</w:t>
            </w:r>
          </w:p>
          <w:p w:rsidR="00C04605" w:rsidRPr="00C04605" w:rsidRDefault="00C04605" w:rsidP="003A214F">
            <w:pPr>
              <w:spacing w:line="276" w:lineRule="auto"/>
              <w:jc w:val="both"/>
              <w:rPr>
                <w:color w:val="000000"/>
                <w:sz w:val="18"/>
                <w:lang w:val="fr-FR"/>
              </w:rPr>
            </w:pPr>
            <w:r>
              <w:rPr>
                <w:color w:val="000000"/>
                <w:sz w:val="18"/>
                <w:lang w:val="fr-FR"/>
              </w:rPr>
              <w:t xml:space="preserve">- </w:t>
            </w:r>
            <w:r w:rsidRPr="00C04605">
              <w:rPr>
                <w:color w:val="000000"/>
                <w:sz w:val="18"/>
                <w:lang w:val="fr-FR"/>
              </w:rPr>
              <w:t>Etat de l’habitat du ménage</w:t>
            </w:r>
            <w:r>
              <w:rPr>
                <w:color w:val="000000"/>
                <w:sz w:val="18"/>
                <w:lang w:val="fr-FR"/>
              </w:rPr>
              <w:t> : locataires de maisons dégradées</w:t>
            </w:r>
          </w:p>
          <w:p w:rsidR="00C04605" w:rsidRPr="00C04605" w:rsidRDefault="00C04605" w:rsidP="003A214F">
            <w:pPr>
              <w:spacing w:line="276" w:lineRule="auto"/>
              <w:jc w:val="both"/>
              <w:rPr>
                <w:color w:val="000000"/>
                <w:sz w:val="18"/>
                <w:lang w:val="fr-FR"/>
              </w:rPr>
            </w:pPr>
            <w:r>
              <w:rPr>
                <w:color w:val="000000"/>
                <w:sz w:val="18"/>
                <w:lang w:val="fr-FR"/>
              </w:rPr>
              <w:t xml:space="preserve">- </w:t>
            </w:r>
            <w:r w:rsidRPr="00C04605">
              <w:rPr>
                <w:color w:val="000000"/>
                <w:sz w:val="18"/>
                <w:lang w:val="fr-FR"/>
              </w:rPr>
              <w:t>Revenus et les dépenses du ménage :</w:t>
            </w:r>
            <w:r>
              <w:rPr>
                <w:color w:val="000000"/>
                <w:sz w:val="18"/>
                <w:lang w:val="fr-FR"/>
              </w:rPr>
              <w:t xml:space="preserve"> </w:t>
            </w:r>
            <w:r w:rsidRPr="00C04605">
              <w:rPr>
                <w:color w:val="000000"/>
                <w:sz w:val="18"/>
                <w:lang w:val="fr-FR"/>
              </w:rPr>
              <w:t>le niveau économique de chaque ménage a été déterminé et la capacité de prise en charge des besoins des ménages a pu être analysée</w:t>
            </w:r>
            <w:r>
              <w:rPr>
                <w:color w:val="000000"/>
                <w:sz w:val="18"/>
                <w:lang w:val="fr-FR"/>
              </w:rPr>
              <w:t xml:space="preserve"> sur la base du no</w:t>
            </w:r>
            <w:r w:rsidRPr="00C04605">
              <w:rPr>
                <w:color w:val="000000"/>
                <w:sz w:val="18"/>
                <w:lang w:val="fr-FR"/>
              </w:rPr>
              <w:t xml:space="preserve">mbre de personnes contribuant aux dépenses du ménage (avant la crise et actuellement), du revenu actuel mensuel par tête du ménage, du poids de la dette dans le revenu du ménage, des postes de dépense qui posent le plus de problème au ménage. </w:t>
            </w:r>
          </w:p>
          <w:p w:rsidR="00C04605" w:rsidRDefault="00C04605" w:rsidP="003A214F">
            <w:pPr>
              <w:spacing w:line="276" w:lineRule="auto"/>
              <w:jc w:val="both"/>
              <w:rPr>
                <w:color w:val="000000"/>
                <w:sz w:val="18"/>
                <w:lang w:val="fr-FR"/>
              </w:rPr>
            </w:pPr>
            <w:r>
              <w:rPr>
                <w:color w:val="000000"/>
                <w:sz w:val="18"/>
                <w:lang w:val="fr-FR"/>
              </w:rPr>
              <w:t xml:space="preserve">- </w:t>
            </w:r>
            <w:r w:rsidRPr="00C04605">
              <w:rPr>
                <w:color w:val="000000"/>
                <w:sz w:val="18"/>
                <w:lang w:val="fr-FR"/>
              </w:rPr>
              <w:t>Alimentation et sources d’approvisionnement du ménage :</w:t>
            </w:r>
            <w:r>
              <w:rPr>
                <w:color w:val="000000"/>
                <w:sz w:val="18"/>
                <w:lang w:val="fr-FR"/>
              </w:rPr>
              <w:t xml:space="preserve"> </w:t>
            </w:r>
            <w:r w:rsidRPr="00C04605">
              <w:rPr>
                <w:color w:val="000000"/>
                <w:sz w:val="18"/>
                <w:lang w:val="fr-FR"/>
              </w:rPr>
              <w:t>recours aux stratégies de survie à impacts élevés (expulsion du domicile pour loyer impayé ; migration permanente ; vente de matériels liés à l’activité économique ; prostitution ; travail des mineurs ; réduction des dépenses d’éducation et de santé ; réduction des dépenses en eau ; réduction des prises de nourriture - qualité, quantité, diversité) par les bénéficiaires</w:t>
            </w:r>
            <w:r>
              <w:rPr>
                <w:color w:val="000000"/>
                <w:sz w:val="18"/>
                <w:lang w:val="fr-FR"/>
              </w:rPr>
              <w:t>.</w:t>
            </w:r>
          </w:p>
          <w:p w:rsidR="00A923B6" w:rsidRDefault="00C04605" w:rsidP="003A214F">
            <w:pPr>
              <w:spacing w:line="276" w:lineRule="auto"/>
              <w:jc w:val="both"/>
              <w:rPr>
                <w:color w:val="000000"/>
                <w:sz w:val="18"/>
                <w:lang w:val="fr-FR"/>
              </w:rPr>
            </w:pPr>
            <w:r>
              <w:rPr>
                <w:color w:val="000000"/>
                <w:sz w:val="18"/>
                <w:lang w:val="fr-FR"/>
              </w:rPr>
              <w:t xml:space="preserve">- </w:t>
            </w:r>
            <w:r w:rsidRPr="00C04605">
              <w:rPr>
                <w:color w:val="000000"/>
                <w:sz w:val="18"/>
                <w:lang w:val="fr-FR"/>
              </w:rPr>
              <w:t>Accès à l’eau potable :</w:t>
            </w:r>
            <w:r>
              <w:rPr>
                <w:color w:val="000000"/>
                <w:sz w:val="18"/>
                <w:lang w:val="fr-FR"/>
              </w:rPr>
              <w:t xml:space="preserve"> difficile ou faible accès à l’eau potable</w:t>
            </w:r>
          </w:p>
          <w:p w:rsidR="00C04605" w:rsidRPr="00C04605" w:rsidRDefault="00C04605" w:rsidP="003A214F">
            <w:pPr>
              <w:spacing w:line="276" w:lineRule="auto"/>
              <w:jc w:val="both"/>
              <w:rPr>
                <w:color w:val="000000"/>
                <w:sz w:val="18"/>
                <w:lang w:val="fr-FR"/>
              </w:rPr>
            </w:pPr>
            <w:r>
              <w:rPr>
                <w:color w:val="000000"/>
                <w:sz w:val="18"/>
                <w:lang w:val="fr-FR"/>
              </w:rPr>
              <w:t xml:space="preserve">- </w:t>
            </w:r>
            <w:r w:rsidRPr="00C04605">
              <w:rPr>
                <w:color w:val="000000"/>
                <w:sz w:val="18"/>
                <w:lang w:val="fr-FR"/>
              </w:rPr>
              <w:t>Besoins du ménage </w:t>
            </w:r>
          </w:p>
          <w:p w:rsidR="00CD06FF" w:rsidRPr="0059381A" w:rsidRDefault="005120FB" w:rsidP="003A214F">
            <w:pPr>
              <w:spacing w:line="276" w:lineRule="auto"/>
              <w:jc w:val="both"/>
              <w:rPr>
                <w:color w:val="000000"/>
                <w:sz w:val="18"/>
                <w:lang w:val="fr-FR"/>
              </w:rPr>
            </w:pPr>
            <w:r>
              <w:rPr>
                <w:color w:val="000000"/>
                <w:sz w:val="18"/>
                <w:lang w:val="fr-FR"/>
              </w:rPr>
              <w:t xml:space="preserve">- </w:t>
            </w:r>
            <w:r w:rsidR="00C04605" w:rsidRPr="005120FB">
              <w:rPr>
                <w:color w:val="000000"/>
                <w:sz w:val="18"/>
                <w:lang w:val="fr-FR"/>
              </w:rPr>
              <w:t>Observations de l’agent enquêteur sur la situation du ménage.</w:t>
            </w:r>
          </w:p>
        </w:tc>
      </w:tr>
      <w:tr w:rsidR="00CD06FF" w:rsidRPr="008F3EBF" w:rsidTr="00B71611">
        <w:trPr>
          <w:trHeight w:val="1666"/>
        </w:trPr>
        <w:tc>
          <w:tcPr>
            <w:tcW w:w="3369" w:type="dxa"/>
            <w:tcBorders>
              <w:top w:val="single" w:sz="4" w:space="0" w:color="auto"/>
              <w:left w:val="single" w:sz="4" w:space="0" w:color="auto"/>
              <w:bottom w:val="single" w:sz="4" w:space="0" w:color="auto"/>
              <w:right w:val="single" w:sz="4" w:space="0" w:color="auto"/>
            </w:tcBorders>
            <w:shd w:val="clear" w:color="auto" w:fill="EAF1DD"/>
            <w:tcMar>
              <w:top w:w="170" w:type="dxa"/>
              <w:bottom w:w="170" w:type="dxa"/>
            </w:tcMar>
            <w:vAlign w:val="center"/>
          </w:tcPr>
          <w:p w:rsidR="00CD06FF" w:rsidRPr="0059381A" w:rsidRDefault="00CD06FF" w:rsidP="003A214F">
            <w:pPr>
              <w:spacing w:line="276" w:lineRule="auto"/>
              <w:rPr>
                <w:sz w:val="20"/>
                <w:lang w:val="fr-FR"/>
              </w:rPr>
            </w:pPr>
            <w:r>
              <w:rPr>
                <w:sz w:val="20"/>
                <w:lang w:val="fr-WINDIES"/>
              </w:rPr>
              <w:lastRenderedPageBreak/>
              <w:t>Types cash transferts (Cash, voucher, conditionnel, inconditionnel)</w:t>
            </w:r>
          </w:p>
        </w:tc>
        <w:tc>
          <w:tcPr>
            <w:tcW w:w="7229" w:type="dxa"/>
            <w:tcBorders>
              <w:top w:val="single" w:sz="4" w:space="0" w:color="auto"/>
              <w:left w:val="single" w:sz="4" w:space="0" w:color="auto"/>
              <w:bottom w:val="single" w:sz="4" w:space="0" w:color="auto"/>
              <w:right w:val="single" w:sz="4" w:space="0" w:color="auto"/>
            </w:tcBorders>
            <w:shd w:val="clear" w:color="auto" w:fill="EEECE1"/>
            <w:tcMar>
              <w:top w:w="170" w:type="dxa"/>
              <w:bottom w:w="170" w:type="dxa"/>
            </w:tcMar>
            <w:vAlign w:val="center"/>
          </w:tcPr>
          <w:p w:rsidR="005120FB" w:rsidRPr="00B90A12" w:rsidRDefault="005120FB" w:rsidP="003A214F">
            <w:pPr>
              <w:spacing w:line="276" w:lineRule="auto"/>
              <w:jc w:val="both"/>
              <w:rPr>
                <w:color w:val="000000"/>
                <w:sz w:val="18"/>
                <w:lang w:val="fr-FR"/>
              </w:rPr>
            </w:pPr>
            <w:r w:rsidRPr="00B90A12">
              <w:rPr>
                <w:b/>
                <w:color w:val="000000"/>
                <w:sz w:val="18"/>
                <w:lang w:val="fr-FR"/>
              </w:rPr>
              <w:t>Transferts conditionnels</w:t>
            </w:r>
            <w:r w:rsidRPr="00B90A12">
              <w:rPr>
                <w:color w:val="000000"/>
                <w:sz w:val="18"/>
                <w:lang w:val="fr-FR"/>
              </w:rPr>
              <w:t xml:space="preserve"> : 3 versements </w:t>
            </w:r>
            <w:r>
              <w:rPr>
                <w:color w:val="000000"/>
                <w:sz w:val="18"/>
                <w:lang w:val="fr-FR"/>
              </w:rPr>
              <w:t xml:space="preserve">dégressifs pour la relance d’une activité génératrice de revenus (50 000 </w:t>
            </w:r>
            <w:r w:rsidRPr="00B90A12">
              <w:rPr>
                <w:color w:val="000000"/>
                <w:sz w:val="18"/>
                <w:lang w:val="fr-FR"/>
              </w:rPr>
              <w:t>FCFA</w:t>
            </w:r>
            <w:r>
              <w:rPr>
                <w:color w:val="000000"/>
                <w:sz w:val="18"/>
                <w:lang w:val="fr-FR"/>
              </w:rPr>
              <w:t>, 22 000 FCFA et 18 000 FCFA)</w:t>
            </w:r>
            <w:r w:rsidRPr="00B90A12">
              <w:rPr>
                <w:color w:val="000000"/>
                <w:sz w:val="18"/>
                <w:lang w:val="fr-FR"/>
              </w:rPr>
              <w:t xml:space="preserve"> pour </w:t>
            </w:r>
            <w:r>
              <w:rPr>
                <w:color w:val="000000"/>
                <w:sz w:val="18"/>
                <w:lang w:val="fr-FR"/>
              </w:rPr>
              <w:t xml:space="preserve">1 600 ménages </w:t>
            </w:r>
            <w:r w:rsidRPr="00B90A12">
              <w:rPr>
                <w:color w:val="000000"/>
                <w:sz w:val="18"/>
                <w:lang w:val="fr-FR"/>
              </w:rPr>
              <w:t>bénéficiaires</w:t>
            </w:r>
          </w:p>
          <w:p w:rsidR="005120FB" w:rsidRPr="008F3EBF" w:rsidRDefault="005120FB" w:rsidP="003A214F">
            <w:pPr>
              <w:spacing w:line="276" w:lineRule="auto"/>
              <w:jc w:val="both"/>
              <w:rPr>
                <w:color w:val="000000"/>
                <w:sz w:val="12"/>
                <w:szCs w:val="12"/>
                <w:lang w:val="fr-FR"/>
              </w:rPr>
            </w:pPr>
          </w:p>
          <w:p w:rsidR="00CD06FF" w:rsidRPr="0059381A" w:rsidRDefault="005120FB" w:rsidP="003A214F">
            <w:pPr>
              <w:spacing w:line="276" w:lineRule="auto"/>
              <w:rPr>
                <w:color w:val="000000"/>
                <w:sz w:val="18"/>
                <w:lang w:val="fr-FR"/>
              </w:rPr>
            </w:pPr>
            <w:r w:rsidRPr="00B90A12">
              <w:rPr>
                <w:b/>
                <w:color w:val="000000"/>
                <w:sz w:val="18"/>
                <w:lang w:val="fr-FR"/>
              </w:rPr>
              <w:t>Transferts inconditionnels</w:t>
            </w:r>
            <w:r w:rsidRPr="00B90A12">
              <w:rPr>
                <w:color w:val="000000"/>
                <w:sz w:val="18"/>
                <w:lang w:val="fr-FR"/>
              </w:rPr>
              <w:t xml:space="preserve"> : </w:t>
            </w:r>
            <w:r>
              <w:rPr>
                <w:color w:val="000000"/>
                <w:sz w:val="18"/>
                <w:lang w:val="fr-FR"/>
              </w:rPr>
              <w:t>3 versements inconditionnels dégressifs (45 000 FCFA, 30 000 FCFA, 15 000 FCFA) pour l’achat de nourriture et biens de première nécessité pour 200 ménages vulnérables bénéficiaires</w:t>
            </w:r>
            <w:r w:rsidRPr="00B90A12">
              <w:rPr>
                <w:color w:val="000000"/>
                <w:sz w:val="18"/>
                <w:lang w:val="fr-FR"/>
              </w:rPr>
              <w:t>.</w:t>
            </w:r>
          </w:p>
        </w:tc>
      </w:tr>
      <w:tr w:rsidR="00CD06FF" w:rsidRPr="008F3EBF" w:rsidTr="00B71611">
        <w:tc>
          <w:tcPr>
            <w:tcW w:w="3369" w:type="dxa"/>
            <w:tcBorders>
              <w:top w:val="single" w:sz="4" w:space="0" w:color="auto"/>
              <w:left w:val="single" w:sz="4" w:space="0" w:color="auto"/>
              <w:bottom w:val="single" w:sz="4" w:space="0" w:color="auto"/>
              <w:right w:val="single" w:sz="4" w:space="0" w:color="auto"/>
            </w:tcBorders>
            <w:shd w:val="clear" w:color="auto" w:fill="EAF1DD"/>
            <w:tcMar>
              <w:top w:w="170" w:type="dxa"/>
              <w:bottom w:w="170" w:type="dxa"/>
            </w:tcMar>
            <w:vAlign w:val="center"/>
          </w:tcPr>
          <w:p w:rsidR="00CD06FF" w:rsidRPr="00017383" w:rsidRDefault="00CD06FF" w:rsidP="003A214F">
            <w:pPr>
              <w:spacing w:line="276" w:lineRule="auto"/>
              <w:rPr>
                <w:sz w:val="20"/>
                <w:lang w:val="fr-FR"/>
              </w:rPr>
            </w:pPr>
            <w:r>
              <w:rPr>
                <w:sz w:val="20"/>
                <w:lang w:val="fr-FR"/>
              </w:rPr>
              <w:t xml:space="preserve">Mécanismes de distribution (Direct, IMF, Banque, commerçants, Tél., </w:t>
            </w:r>
            <w:proofErr w:type="spellStart"/>
            <w:r>
              <w:rPr>
                <w:sz w:val="20"/>
                <w:lang w:val="fr-FR"/>
              </w:rPr>
              <w:t>ect</w:t>
            </w:r>
            <w:proofErr w:type="spellEnd"/>
            <w:r>
              <w:rPr>
                <w:sz w:val="20"/>
                <w:lang w:val="fr-FR"/>
              </w:rPr>
              <w:t>)</w:t>
            </w:r>
          </w:p>
        </w:tc>
        <w:tc>
          <w:tcPr>
            <w:tcW w:w="7229" w:type="dxa"/>
            <w:tcBorders>
              <w:top w:val="single" w:sz="4" w:space="0" w:color="auto"/>
              <w:left w:val="single" w:sz="4" w:space="0" w:color="auto"/>
              <w:bottom w:val="single" w:sz="4" w:space="0" w:color="auto"/>
              <w:right w:val="single" w:sz="4" w:space="0" w:color="auto"/>
            </w:tcBorders>
            <w:shd w:val="clear" w:color="auto" w:fill="EEECE1"/>
            <w:tcMar>
              <w:top w:w="170" w:type="dxa"/>
              <w:bottom w:w="170" w:type="dxa"/>
            </w:tcMar>
            <w:vAlign w:val="center"/>
          </w:tcPr>
          <w:p w:rsidR="00CD06FF" w:rsidRPr="00017383" w:rsidRDefault="002F36F1" w:rsidP="003A214F">
            <w:pPr>
              <w:spacing w:line="276" w:lineRule="auto"/>
              <w:jc w:val="both"/>
              <w:rPr>
                <w:color w:val="000000"/>
                <w:sz w:val="18"/>
                <w:lang w:val="fr-FR"/>
              </w:rPr>
            </w:pPr>
            <w:r>
              <w:rPr>
                <w:color w:val="000000"/>
                <w:sz w:val="18"/>
                <w:lang w:val="fr-FR"/>
              </w:rPr>
              <w:t xml:space="preserve">ACTED a </w:t>
            </w:r>
            <w:r w:rsidR="00F11271">
              <w:rPr>
                <w:color w:val="000000"/>
                <w:sz w:val="18"/>
                <w:lang w:val="fr-FR"/>
              </w:rPr>
              <w:t>contracté</w:t>
            </w:r>
            <w:r w:rsidRPr="002F36F1">
              <w:rPr>
                <w:color w:val="000000"/>
                <w:sz w:val="18"/>
                <w:lang w:val="fr-FR"/>
              </w:rPr>
              <w:t xml:space="preserve"> avec une </w:t>
            </w:r>
            <w:r w:rsidRPr="008F3EBF">
              <w:rPr>
                <w:color w:val="000000"/>
                <w:sz w:val="18"/>
                <w:u w:val="single"/>
                <w:lang w:val="fr-FR"/>
              </w:rPr>
              <w:t>entreprise de téléphonie mobile</w:t>
            </w:r>
            <w:r w:rsidRPr="002F36F1">
              <w:rPr>
                <w:color w:val="000000"/>
                <w:sz w:val="18"/>
                <w:lang w:val="fr-FR"/>
              </w:rPr>
              <w:t xml:space="preserve"> qui, à travers son réseau mobile et ses distributeurs agréés, </w:t>
            </w:r>
            <w:r>
              <w:rPr>
                <w:color w:val="000000"/>
                <w:sz w:val="18"/>
                <w:lang w:val="fr-FR"/>
              </w:rPr>
              <w:t>a transfé</w:t>
            </w:r>
            <w:r w:rsidRPr="002F36F1">
              <w:rPr>
                <w:color w:val="000000"/>
                <w:sz w:val="18"/>
                <w:lang w:val="fr-FR"/>
              </w:rPr>
              <w:t>r</w:t>
            </w:r>
            <w:r>
              <w:rPr>
                <w:color w:val="000000"/>
                <w:sz w:val="18"/>
                <w:lang w:val="fr-FR"/>
              </w:rPr>
              <w:t>é</w:t>
            </w:r>
            <w:r w:rsidRPr="002F36F1">
              <w:rPr>
                <w:color w:val="000000"/>
                <w:sz w:val="18"/>
                <w:lang w:val="fr-FR"/>
              </w:rPr>
              <w:t xml:space="preserve"> les liquidités aux bénéficiaires sur leurs téléphones portables. Une fois le transfert effectué, les bénéficiaires re</w:t>
            </w:r>
            <w:r>
              <w:rPr>
                <w:color w:val="000000"/>
                <w:sz w:val="18"/>
                <w:lang w:val="fr-FR"/>
              </w:rPr>
              <w:t xml:space="preserve">cevaient </w:t>
            </w:r>
            <w:r w:rsidRPr="002F36F1">
              <w:rPr>
                <w:color w:val="000000"/>
                <w:sz w:val="18"/>
                <w:lang w:val="fr-FR"/>
              </w:rPr>
              <w:t>un message (sur leur téléphone portable), les informant de la disponibilité des liquidités et les</w:t>
            </w:r>
            <w:r>
              <w:rPr>
                <w:color w:val="000000"/>
                <w:sz w:val="18"/>
                <w:lang w:val="fr-FR"/>
              </w:rPr>
              <w:t xml:space="preserve"> invitant à les retirer. Ils n’avaient alors </w:t>
            </w:r>
            <w:r w:rsidRPr="002F36F1">
              <w:rPr>
                <w:color w:val="000000"/>
                <w:sz w:val="18"/>
                <w:lang w:val="fr-FR"/>
              </w:rPr>
              <w:t>qu’à se rendre auprès du distributeur, désigné par ACTED, pour retirer leur argent en toute confidentialité et sécurité.</w:t>
            </w:r>
          </w:p>
        </w:tc>
      </w:tr>
      <w:tr w:rsidR="00CD06FF" w:rsidRPr="008F3EBF" w:rsidTr="00B71611">
        <w:tc>
          <w:tcPr>
            <w:tcW w:w="3369" w:type="dxa"/>
            <w:tcBorders>
              <w:top w:val="single" w:sz="4" w:space="0" w:color="auto"/>
              <w:left w:val="single" w:sz="4" w:space="0" w:color="auto"/>
              <w:bottom w:val="single" w:sz="4" w:space="0" w:color="auto"/>
              <w:right w:val="single" w:sz="4" w:space="0" w:color="auto"/>
            </w:tcBorders>
            <w:shd w:val="clear" w:color="auto" w:fill="EAF1DD"/>
            <w:tcMar>
              <w:top w:w="170" w:type="dxa"/>
              <w:bottom w:w="170" w:type="dxa"/>
            </w:tcMar>
            <w:vAlign w:val="center"/>
          </w:tcPr>
          <w:p w:rsidR="00CD06FF" w:rsidRPr="00017383" w:rsidRDefault="00CD06FF" w:rsidP="003A214F">
            <w:pPr>
              <w:spacing w:line="276" w:lineRule="auto"/>
              <w:textAlignment w:val="top"/>
              <w:rPr>
                <w:sz w:val="20"/>
                <w:lang w:val="fr-FR"/>
              </w:rPr>
            </w:pPr>
            <w:r>
              <w:rPr>
                <w:sz w:val="20"/>
                <w:lang w:val="fr-FR"/>
              </w:rPr>
              <w:t>Mécanisme de plainte/</w:t>
            </w:r>
            <w:proofErr w:type="spellStart"/>
            <w:r>
              <w:rPr>
                <w:sz w:val="20"/>
                <w:lang w:val="fr-FR"/>
              </w:rPr>
              <w:t>redevabilité</w:t>
            </w:r>
            <w:proofErr w:type="spellEnd"/>
          </w:p>
        </w:tc>
        <w:tc>
          <w:tcPr>
            <w:tcW w:w="7229" w:type="dxa"/>
            <w:tcBorders>
              <w:top w:val="single" w:sz="4" w:space="0" w:color="auto"/>
              <w:left w:val="single" w:sz="4" w:space="0" w:color="auto"/>
              <w:bottom w:val="single" w:sz="4" w:space="0" w:color="auto"/>
              <w:right w:val="single" w:sz="4" w:space="0" w:color="auto"/>
            </w:tcBorders>
            <w:shd w:val="clear" w:color="auto" w:fill="EEECE1"/>
            <w:tcMar>
              <w:top w:w="170" w:type="dxa"/>
              <w:bottom w:w="170" w:type="dxa"/>
            </w:tcMar>
            <w:vAlign w:val="center"/>
          </w:tcPr>
          <w:p w:rsidR="00CD06FF" w:rsidRPr="002F36F1" w:rsidRDefault="002F36F1" w:rsidP="003A214F">
            <w:pPr>
              <w:spacing w:line="276" w:lineRule="auto"/>
              <w:jc w:val="both"/>
              <w:rPr>
                <w:color w:val="000000"/>
                <w:sz w:val="18"/>
                <w:lang w:val="fr-FR"/>
              </w:rPr>
            </w:pPr>
            <w:r w:rsidRPr="00B90A12">
              <w:rPr>
                <w:color w:val="000000"/>
                <w:sz w:val="18"/>
                <w:lang w:val="fr-FR"/>
              </w:rPr>
              <w:t xml:space="preserve">Les bénéficiaires étaient  en possession des coordonnées téléphoniques de plusieurs points focaux clés du projet, à savoir un des superviseurs ACTED sur le terrain, un facilitateur et </w:t>
            </w:r>
            <w:r>
              <w:rPr>
                <w:color w:val="000000"/>
                <w:sz w:val="18"/>
                <w:lang w:val="fr-FR"/>
              </w:rPr>
              <w:t xml:space="preserve">le </w:t>
            </w:r>
            <w:r w:rsidRPr="00B90A12">
              <w:rPr>
                <w:color w:val="000000"/>
                <w:sz w:val="18"/>
                <w:lang w:val="fr-FR"/>
              </w:rPr>
              <w:t xml:space="preserve">chef de projet ACTED.  </w:t>
            </w:r>
          </w:p>
        </w:tc>
      </w:tr>
      <w:tr w:rsidR="00CD06FF" w:rsidRPr="008F3EBF" w:rsidTr="00B71611">
        <w:tc>
          <w:tcPr>
            <w:tcW w:w="3369" w:type="dxa"/>
            <w:tcBorders>
              <w:top w:val="single" w:sz="4" w:space="0" w:color="auto"/>
              <w:left w:val="single" w:sz="4" w:space="0" w:color="auto"/>
              <w:bottom w:val="single" w:sz="4" w:space="0" w:color="auto"/>
              <w:right w:val="single" w:sz="4" w:space="0" w:color="auto"/>
            </w:tcBorders>
            <w:shd w:val="clear" w:color="auto" w:fill="EAF1DD"/>
            <w:tcMar>
              <w:top w:w="170" w:type="dxa"/>
              <w:bottom w:w="170" w:type="dxa"/>
            </w:tcMar>
            <w:vAlign w:val="center"/>
          </w:tcPr>
          <w:p w:rsidR="00CD06FF" w:rsidRPr="00017383" w:rsidRDefault="00CD06FF" w:rsidP="003A214F">
            <w:pPr>
              <w:spacing w:line="276" w:lineRule="auto"/>
              <w:textAlignment w:val="top"/>
              <w:rPr>
                <w:sz w:val="20"/>
                <w:lang w:val="fr-FR"/>
              </w:rPr>
            </w:pPr>
            <w:r>
              <w:rPr>
                <w:sz w:val="20"/>
                <w:lang w:val="fr-FR"/>
              </w:rPr>
              <w:t>Prise en compte du genre</w:t>
            </w:r>
          </w:p>
        </w:tc>
        <w:tc>
          <w:tcPr>
            <w:tcW w:w="7229" w:type="dxa"/>
            <w:tcBorders>
              <w:top w:val="single" w:sz="4" w:space="0" w:color="auto"/>
              <w:left w:val="single" w:sz="4" w:space="0" w:color="auto"/>
              <w:bottom w:val="single" w:sz="4" w:space="0" w:color="auto"/>
              <w:right w:val="single" w:sz="4" w:space="0" w:color="auto"/>
            </w:tcBorders>
            <w:shd w:val="clear" w:color="auto" w:fill="EEECE1"/>
            <w:tcMar>
              <w:top w:w="170" w:type="dxa"/>
              <w:bottom w:w="170" w:type="dxa"/>
            </w:tcMar>
            <w:vAlign w:val="center"/>
          </w:tcPr>
          <w:p w:rsidR="00CD06FF" w:rsidRPr="00017383" w:rsidRDefault="00030C30" w:rsidP="003A214F">
            <w:pPr>
              <w:spacing w:line="276" w:lineRule="auto"/>
              <w:rPr>
                <w:color w:val="000000"/>
                <w:sz w:val="18"/>
                <w:lang w:val="fr-FR"/>
              </w:rPr>
            </w:pPr>
            <w:r w:rsidRPr="00030C30">
              <w:rPr>
                <w:color w:val="000000"/>
                <w:sz w:val="18"/>
                <w:lang w:val="fr-FR"/>
              </w:rPr>
              <w:t xml:space="preserve">ACTED a accordé un intérêt certain à la question du genre et de l’autonomisation des femmes, même si le genre n’a pas été un critère déterminant dans la sélection des bénéficiaires. Le projet a en effet bénéficié en majorité à des femmes (chefs de ménages) qui représentaient </w:t>
            </w:r>
            <w:r w:rsidR="00F11271">
              <w:rPr>
                <w:color w:val="000000"/>
                <w:sz w:val="18"/>
                <w:lang w:val="fr-FR"/>
              </w:rPr>
              <w:t>près</w:t>
            </w:r>
            <w:r w:rsidRPr="00030C30">
              <w:rPr>
                <w:color w:val="000000"/>
                <w:sz w:val="18"/>
                <w:lang w:val="fr-FR"/>
              </w:rPr>
              <w:t xml:space="preserve"> de 80% des bénéficiaires (TAC et TSC confondus). En effet, le petit commerce (AGR) est généralement tenu par les femmes dans les quartiers précaires d’Abidjan et correspond de facto aux besoins de relance économique des communautés locales.</w:t>
            </w:r>
          </w:p>
        </w:tc>
      </w:tr>
      <w:tr w:rsidR="00CD06FF" w:rsidRPr="008F3EBF" w:rsidTr="00B71611">
        <w:trPr>
          <w:trHeight w:val="4076"/>
        </w:trPr>
        <w:tc>
          <w:tcPr>
            <w:tcW w:w="3369" w:type="dxa"/>
            <w:tcBorders>
              <w:top w:val="single" w:sz="4" w:space="0" w:color="auto"/>
              <w:left w:val="single" w:sz="4" w:space="0" w:color="auto"/>
              <w:bottom w:val="single" w:sz="4" w:space="0" w:color="auto"/>
              <w:right w:val="single" w:sz="4" w:space="0" w:color="auto"/>
            </w:tcBorders>
            <w:shd w:val="clear" w:color="auto" w:fill="EAF1DD"/>
            <w:tcMar>
              <w:top w:w="170" w:type="dxa"/>
              <w:bottom w:w="170" w:type="dxa"/>
            </w:tcMar>
            <w:vAlign w:val="center"/>
          </w:tcPr>
          <w:p w:rsidR="00CD06FF" w:rsidRPr="00017383" w:rsidRDefault="00CD06FF" w:rsidP="003A214F">
            <w:pPr>
              <w:spacing w:line="276" w:lineRule="auto"/>
              <w:rPr>
                <w:sz w:val="20"/>
                <w:lang w:val="fr-FR"/>
              </w:rPr>
            </w:pPr>
            <w:r w:rsidRPr="00017383">
              <w:rPr>
                <w:sz w:val="20"/>
                <w:lang w:val="fr-FR"/>
              </w:rPr>
              <w:t>Leçons apprises</w:t>
            </w:r>
            <w:r>
              <w:rPr>
                <w:sz w:val="20"/>
                <w:lang w:val="fr-FR"/>
              </w:rPr>
              <w:t xml:space="preserve"> </w:t>
            </w:r>
            <w:r w:rsidRPr="00017383">
              <w:rPr>
                <w:sz w:val="20"/>
                <w:lang w:val="fr-FR"/>
              </w:rPr>
              <w:t>:</w:t>
            </w:r>
          </w:p>
          <w:p w:rsidR="00CD06FF" w:rsidRPr="00017383" w:rsidRDefault="00CD06FF" w:rsidP="003A214F">
            <w:pPr>
              <w:spacing w:line="276" w:lineRule="auto"/>
              <w:rPr>
                <w:sz w:val="20"/>
                <w:lang w:val="fr-FR"/>
              </w:rPr>
            </w:pPr>
            <w:r w:rsidRPr="00017383">
              <w:rPr>
                <w:sz w:val="20"/>
                <w:lang w:val="fr-FR"/>
              </w:rPr>
              <w:t>Forces/atouts (+):</w:t>
            </w:r>
          </w:p>
          <w:p w:rsidR="00CD06FF" w:rsidRPr="00017383" w:rsidRDefault="00CD06FF" w:rsidP="003A214F">
            <w:pPr>
              <w:spacing w:line="276" w:lineRule="auto"/>
              <w:rPr>
                <w:sz w:val="20"/>
                <w:lang w:val="fr-FR"/>
              </w:rPr>
            </w:pPr>
            <w:r w:rsidRPr="00017383">
              <w:rPr>
                <w:sz w:val="20"/>
                <w:lang w:val="fr-FR"/>
              </w:rPr>
              <w:t>Faiblesses/</w:t>
            </w:r>
            <w:r>
              <w:rPr>
                <w:sz w:val="20"/>
                <w:lang w:val="fr-FR"/>
              </w:rPr>
              <w:t>Difficultés/</w:t>
            </w:r>
            <w:r w:rsidRPr="00017383">
              <w:rPr>
                <w:sz w:val="20"/>
                <w:lang w:val="fr-FR"/>
              </w:rPr>
              <w:t>contraintes (-):</w:t>
            </w:r>
          </w:p>
        </w:tc>
        <w:tc>
          <w:tcPr>
            <w:tcW w:w="7229" w:type="dxa"/>
            <w:tcBorders>
              <w:top w:val="single" w:sz="4" w:space="0" w:color="auto"/>
              <w:left w:val="single" w:sz="4" w:space="0" w:color="auto"/>
              <w:bottom w:val="single" w:sz="4" w:space="0" w:color="auto"/>
              <w:right w:val="single" w:sz="4" w:space="0" w:color="auto"/>
            </w:tcBorders>
            <w:shd w:val="clear" w:color="auto" w:fill="EEECE1"/>
            <w:tcMar>
              <w:top w:w="170" w:type="dxa"/>
              <w:bottom w:w="170" w:type="dxa"/>
            </w:tcMar>
            <w:vAlign w:val="center"/>
          </w:tcPr>
          <w:p w:rsidR="005D76AB" w:rsidRDefault="00CD06FF" w:rsidP="003A214F">
            <w:pPr>
              <w:spacing w:line="276" w:lineRule="auto"/>
              <w:rPr>
                <w:color w:val="000000"/>
                <w:sz w:val="18"/>
                <w:lang w:val="fr-FR"/>
              </w:rPr>
            </w:pPr>
            <w:r w:rsidRPr="005D76AB">
              <w:rPr>
                <w:b/>
                <w:color w:val="000000"/>
                <w:sz w:val="18"/>
                <w:lang w:val="fr-FR"/>
              </w:rPr>
              <w:t>+</w:t>
            </w:r>
            <w:r w:rsidR="00F51ABC" w:rsidRPr="005D76AB">
              <w:rPr>
                <w:b/>
                <w:color w:val="000000"/>
                <w:sz w:val="18"/>
                <w:lang w:val="fr-FR"/>
              </w:rPr>
              <w:t xml:space="preserve"> L’implication des leaders communautaires</w:t>
            </w:r>
            <w:r w:rsidR="005D76AB">
              <w:rPr>
                <w:b/>
                <w:color w:val="000000"/>
                <w:sz w:val="18"/>
                <w:lang w:val="fr-FR"/>
              </w:rPr>
              <w:t> </w:t>
            </w:r>
            <w:r w:rsidR="005D76AB">
              <w:rPr>
                <w:color w:val="000000"/>
                <w:sz w:val="18"/>
                <w:lang w:val="fr-FR"/>
              </w:rPr>
              <w:t xml:space="preserve">: </w:t>
            </w:r>
          </w:p>
          <w:p w:rsidR="00F51ABC" w:rsidRPr="005D76AB" w:rsidRDefault="005D76AB" w:rsidP="003A214F">
            <w:pPr>
              <w:spacing w:line="276" w:lineRule="auto"/>
              <w:rPr>
                <w:color w:val="000000"/>
                <w:sz w:val="18"/>
                <w:lang w:val="fr-FR"/>
              </w:rPr>
            </w:pPr>
            <w:r>
              <w:rPr>
                <w:color w:val="000000"/>
                <w:sz w:val="18"/>
                <w:lang w:val="fr-FR"/>
              </w:rPr>
              <w:t xml:space="preserve">Elle </w:t>
            </w:r>
            <w:r w:rsidR="00F51ABC" w:rsidRPr="005D76AB">
              <w:rPr>
                <w:color w:val="000000"/>
                <w:sz w:val="18"/>
                <w:lang w:val="fr-FR"/>
              </w:rPr>
              <w:t>facilite l’intervention des acteurs humanitaires dans les zones d’intervention. Ils permettent l’accès aux quartiers et constituent les interfaces entre les communautés et l’organisation opératrice.</w:t>
            </w:r>
          </w:p>
          <w:p w:rsidR="00CD06FF" w:rsidRDefault="00F51ABC" w:rsidP="003A214F">
            <w:pPr>
              <w:spacing w:line="276" w:lineRule="auto"/>
              <w:rPr>
                <w:color w:val="000000"/>
                <w:sz w:val="18"/>
                <w:lang w:val="fr-FR"/>
              </w:rPr>
            </w:pPr>
            <w:r w:rsidRPr="005D76AB">
              <w:rPr>
                <w:color w:val="000000"/>
                <w:sz w:val="18"/>
                <w:lang w:val="fr-FR"/>
              </w:rPr>
              <w:t>Les focus-groups permettent aussi une implication des communautés dès le début du projet facilitant son appropriation tout au long de la mise en œuvre</w:t>
            </w:r>
            <w:r w:rsidR="005D76AB">
              <w:rPr>
                <w:color w:val="000000"/>
                <w:sz w:val="18"/>
                <w:lang w:val="fr-FR"/>
              </w:rPr>
              <w:t>.</w:t>
            </w:r>
          </w:p>
          <w:p w:rsidR="005D76AB" w:rsidRPr="008F3EBF" w:rsidRDefault="005D76AB" w:rsidP="003A214F">
            <w:pPr>
              <w:spacing w:line="276" w:lineRule="auto"/>
              <w:rPr>
                <w:color w:val="000000"/>
                <w:sz w:val="12"/>
                <w:szCs w:val="12"/>
                <w:lang w:val="fr-FR"/>
              </w:rPr>
            </w:pPr>
          </w:p>
          <w:p w:rsidR="005D76AB" w:rsidRDefault="00CD06FF" w:rsidP="003A214F">
            <w:pPr>
              <w:spacing w:line="276" w:lineRule="auto"/>
              <w:rPr>
                <w:color w:val="000000"/>
                <w:sz w:val="18"/>
                <w:lang w:val="fr-FR"/>
              </w:rPr>
            </w:pPr>
            <w:r w:rsidRPr="005D76AB">
              <w:rPr>
                <w:b/>
                <w:color w:val="000000"/>
                <w:sz w:val="18"/>
                <w:lang w:val="fr-FR"/>
              </w:rPr>
              <w:t>+</w:t>
            </w:r>
            <w:r w:rsidR="00F51ABC" w:rsidRPr="005D76AB">
              <w:rPr>
                <w:b/>
                <w:color w:val="000000"/>
                <w:sz w:val="18"/>
                <w:lang w:val="fr-FR"/>
              </w:rPr>
              <w:t xml:space="preserve">  L’approche</w:t>
            </w:r>
            <w:r w:rsidR="005D76AB" w:rsidRPr="005D76AB">
              <w:rPr>
                <w:b/>
                <w:color w:val="000000"/>
                <w:sz w:val="18"/>
                <w:lang w:val="fr-FR"/>
              </w:rPr>
              <w:t xml:space="preserve"> communautaire</w:t>
            </w:r>
            <w:r w:rsidR="00F51ABC" w:rsidRPr="005D76AB">
              <w:rPr>
                <w:b/>
                <w:color w:val="000000"/>
                <w:sz w:val="18"/>
                <w:lang w:val="fr-FR"/>
              </w:rPr>
              <w:t xml:space="preserve"> utilisée par ACTED</w:t>
            </w:r>
            <w:r w:rsidR="005D76AB">
              <w:rPr>
                <w:color w:val="000000"/>
                <w:sz w:val="18"/>
                <w:lang w:val="fr-FR"/>
              </w:rPr>
              <w:t> :</w:t>
            </w:r>
          </w:p>
          <w:p w:rsidR="00F51ABC" w:rsidRPr="005D76AB" w:rsidRDefault="00291D00" w:rsidP="003A214F">
            <w:pPr>
              <w:spacing w:line="276" w:lineRule="auto"/>
              <w:rPr>
                <w:color w:val="000000"/>
                <w:sz w:val="18"/>
                <w:lang w:val="fr-FR"/>
              </w:rPr>
            </w:pPr>
            <w:r>
              <w:rPr>
                <w:color w:val="000000"/>
                <w:sz w:val="18"/>
                <w:lang w:val="fr-FR"/>
              </w:rPr>
              <w:t>Elle</w:t>
            </w:r>
            <w:r w:rsidR="00F51ABC" w:rsidRPr="005D76AB">
              <w:rPr>
                <w:color w:val="000000"/>
                <w:sz w:val="18"/>
                <w:lang w:val="fr-FR"/>
              </w:rPr>
              <w:t xml:space="preserve"> permet d’améliorer la connaissance des zones d’intervention et facilite l’accès aux ménages vulnérables et leur identification, notamment grâce à la collaboration des autorités. Cela permet </w:t>
            </w:r>
            <w:r>
              <w:rPr>
                <w:color w:val="000000"/>
                <w:sz w:val="18"/>
                <w:lang w:val="fr-FR"/>
              </w:rPr>
              <w:t xml:space="preserve">également </w:t>
            </w:r>
            <w:r w:rsidR="00F51ABC" w:rsidRPr="005D76AB">
              <w:rPr>
                <w:color w:val="000000"/>
                <w:sz w:val="18"/>
                <w:lang w:val="fr-FR"/>
              </w:rPr>
              <w:t>de faire le zonage des zones d’intervention en préparation des activités de suivi des bénéficiaires (suivi AGR et PDM).</w:t>
            </w:r>
          </w:p>
          <w:p w:rsidR="00CD06FF" w:rsidRPr="005D76AB" w:rsidRDefault="00F51ABC" w:rsidP="003A214F">
            <w:pPr>
              <w:spacing w:line="276" w:lineRule="auto"/>
              <w:rPr>
                <w:color w:val="000000"/>
                <w:sz w:val="18"/>
                <w:lang w:val="fr-FR"/>
              </w:rPr>
            </w:pPr>
            <w:r w:rsidRPr="005D76AB">
              <w:rPr>
                <w:color w:val="000000"/>
                <w:sz w:val="18"/>
                <w:lang w:val="fr-FR"/>
              </w:rPr>
              <w:t xml:space="preserve">L’enquête ménage de confirmation des vulnérabilités a permis de sélectionner les ménages les plus vulnérables sur la base de critères définis par les communautés elles-mêmes. </w:t>
            </w:r>
          </w:p>
          <w:p w:rsidR="00F51ABC" w:rsidRPr="008F3EBF" w:rsidRDefault="00F51ABC" w:rsidP="003A214F">
            <w:pPr>
              <w:spacing w:line="276" w:lineRule="auto"/>
              <w:rPr>
                <w:color w:val="000000"/>
                <w:sz w:val="12"/>
                <w:szCs w:val="12"/>
                <w:lang w:val="fr-FR"/>
              </w:rPr>
            </w:pPr>
          </w:p>
          <w:p w:rsidR="005D76AB" w:rsidRDefault="00CD06FF" w:rsidP="003A214F">
            <w:pPr>
              <w:spacing w:line="276" w:lineRule="auto"/>
              <w:rPr>
                <w:color w:val="000000"/>
                <w:sz w:val="18"/>
                <w:lang w:val="fr-FR"/>
              </w:rPr>
            </w:pPr>
            <w:r w:rsidRPr="00F51ABC">
              <w:rPr>
                <w:color w:val="000000"/>
                <w:sz w:val="18"/>
                <w:lang w:val="fr-FR"/>
              </w:rPr>
              <w:t>+</w:t>
            </w:r>
            <w:r w:rsidR="00F51ABC">
              <w:rPr>
                <w:color w:val="000000"/>
                <w:sz w:val="18"/>
                <w:lang w:val="fr-FR"/>
              </w:rPr>
              <w:t xml:space="preserve"> </w:t>
            </w:r>
            <w:r w:rsidR="00F51ABC" w:rsidRPr="005D76AB">
              <w:rPr>
                <w:color w:val="000000"/>
                <w:sz w:val="18"/>
                <w:lang w:val="fr-FR"/>
              </w:rPr>
              <w:t xml:space="preserve"> </w:t>
            </w:r>
            <w:r w:rsidR="00F51ABC" w:rsidRPr="005D76AB">
              <w:rPr>
                <w:b/>
                <w:color w:val="000000"/>
                <w:sz w:val="18"/>
                <w:lang w:val="fr-FR"/>
              </w:rPr>
              <w:t xml:space="preserve">La méthode de transfert par </w:t>
            </w:r>
            <w:r w:rsidR="00291D00">
              <w:rPr>
                <w:b/>
                <w:color w:val="000000"/>
                <w:sz w:val="18"/>
                <w:lang w:val="fr-FR"/>
              </w:rPr>
              <w:t>téléphone</w:t>
            </w:r>
            <w:r w:rsidR="005D76AB">
              <w:rPr>
                <w:b/>
                <w:color w:val="000000"/>
                <w:sz w:val="18"/>
                <w:lang w:val="fr-FR"/>
              </w:rPr>
              <w:t> </w:t>
            </w:r>
            <w:r w:rsidR="005D76AB">
              <w:rPr>
                <w:color w:val="000000"/>
                <w:sz w:val="18"/>
                <w:lang w:val="fr-FR"/>
              </w:rPr>
              <w:t>:</w:t>
            </w:r>
          </w:p>
          <w:p w:rsidR="00F51ABC" w:rsidRPr="005D76AB" w:rsidRDefault="005D76AB" w:rsidP="003A214F">
            <w:pPr>
              <w:spacing w:line="276" w:lineRule="auto"/>
              <w:rPr>
                <w:color w:val="000000"/>
                <w:sz w:val="18"/>
                <w:lang w:val="fr-FR"/>
              </w:rPr>
            </w:pPr>
            <w:r>
              <w:rPr>
                <w:color w:val="000000"/>
                <w:sz w:val="18"/>
                <w:lang w:val="fr-FR"/>
              </w:rPr>
              <w:t>Elle</w:t>
            </w:r>
            <w:r w:rsidR="00F51ABC" w:rsidRPr="005D76AB">
              <w:rPr>
                <w:color w:val="000000"/>
                <w:sz w:val="18"/>
                <w:lang w:val="fr-FR"/>
              </w:rPr>
              <w:t xml:space="preserve"> a l’avantage d’assurer une distribution discrète, sécurisée, rapide et de faciliter l’accès des bénéficiaires aux liquidités, au contraire d’une distribution en liquide qui aurait nécessité une logistique plus importante pour tenter de palier au mieux à tous les risques sécuritaires (risques d’attaque sur le lieu de la distribution, risques d’agressions des bénéficiaires et du staff ACTED…).</w:t>
            </w:r>
          </w:p>
          <w:p w:rsidR="00F51ABC" w:rsidRDefault="00F51ABC" w:rsidP="003A214F">
            <w:pPr>
              <w:spacing w:line="276" w:lineRule="auto"/>
              <w:rPr>
                <w:color w:val="000000"/>
                <w:sz w:val="12"/>
                <w:szCs w:val="12"/>
                <w:lang w:val="fr-FR"/>
              </w:rPr>
            </w:pPr>
          </w:p>
          <w:p w:rsidR="008F3EBF" w:rsidRPr="008F3EBF" w:rsidRDefault="008F3EBF" w:rsidP="003A214F">
            <w:pPr>
              <w:spacing w:line="276" w:lineRule="auto"/>
              <w:rPr>
                <w:color w:val="000000"/>
                <w:sz w:val="12"/>
                <w:szCs w:val="12"/>
                <w:lang w:val="fr-FR"/>
              </w:rPr>
            </w:pPr>
          </w:p>
          <w:p w:rsidR="005D76AB" w:rsidRPr="005D76AB" w:rsidRDefault="00F51ABC" w:rsidP="003A214F">
            <w:pPr>
              <w:spacing w:line="276" w:lineRule="auto"/>
              <w:rPr>
                <w:b/>
                <w:color w:val="000000"/>
                <w:sz w:val="18"/>
                <w:lang w:val="fr-FR"/>
              </w:rPr>
            </w:pPr>
            <w:r w:rsidRPr="005D76AB">
              <w:rPr>
                <w:b/>
                <w:color w:val="000000"/>
                <w:sz w:val="18"/>
                <w:lang w:val="fr-FR"/>
              </w:rPr>
              <w:t xml:space="preserve">+ </w:t>
            </w:r>
            <w:r w:rsidR="005D76AB" w:rsidRPr="005D76AB">
              <w:rPr>
                <w:b/>
                <w:color w:val="000000"/>
                <w:sz w:val="18"/>
                <w:lang w:val="fr-FR"/>
              </w:rPr>
              <w:t>Le suivi des bénéficiaires :</w:t>
            </w:r>
          </w:p>
          <w:p w:rsidR="005D76AB" w:rsidRPr="005D76AB" w:rsidRDefault="005D76AB" w:rsidP="003A214F">
            <w:pPr>
              <w:spacing w:line="276" w:lineRule="auto"/>
              <w:rPr>
                <w:color w:val="000000"/>
                <w:sz w:val="18"/>
                <w:lang w:val="fr-FR"/>
              </w:rPr>
            </w:pPr>
            <w:r>
              <w:rPr>
                <w:color w:val="000000"/>
                <w:sz w:val="18"/>
                <w:lang w:val="fr-FR"/>
              </w:rPr>
              <w:t xml:space="preserve">Cette activité </w:t>
            </w:r>
            <w:r w:rsidRPr="005D76AB">
              <w:rPr>
                <w:color w:val="000000"/>
                <w:sz w:val="18"/>
                <w:lang w:val="fr-FR"/>
              </w:rPr>
              <w:t xml:space="preserve">présente de nombreux avantages. En effet, elle permet d’aider les bénéficiaires à avoir une meilleure maitrise de leur l’activité et à faire la différence entre </w:t>
            </w:r>
            <w:r w:rsidRPr="005D76AB">
              <w:rPr>
                <w:color w:val="000000"/>
                <w:sz w:val="18"/>
                <w:lang w:val="fr-FR"/>
              </w:rPr>
              <w:lastRenderedPageBreak/>
              <w:t xml:space="preserve">les recettes, les dépenses, les revenus engendrés, la gestion de stock et le bénéfice. Le suivi permet également de bénéficier d’une meilleure connaissance de la zone d’intervention et de la dynamique des quartiers d’intervention par nos équipes terrain (notamment grâce au zonage), d’une meilleure connaissance des bénéficiaires et du renforcement de la confiance entre bénéficiaires et </w:t>
            </w:r>
            <w:r w:rsidR="00291D00">
              <w:rPr>
                <w:color w:val="000000"/>
                <w:sz w:val="18"/>
                <w:lang w:val="fr-FR"/>
              </w:rPr>
              <w:t>superviseurs</w:t>
            </w:r>
            <w:r w:rsidRPr="005D76AB">
              <w:rPr>
                <w:color w:val="000000"/>
                <w:sz w:val="18"/>
                <w:lang w:val="fr-FR"/>
              </w:rPr>
              <w:t xml:space="preserve"> du fait de la proximité et du soutien apporté. De plus, l’identification des éventuels problèmes de fonctionnement rencontrés par les bénéficiaires dans la gestion de leurs AGR n’est possible que grâce au suivi qui est, alors, mis à profit pour leur apporter des conseils personnalisés et adaptés à chaque bénéficiaire. Des sensibilisations sont faites pour encourager les bénéficiaires à plus d’engagement et de sérieux dans la gestion de leurs activités, ce qui permet donc de réduire les risques d’échec.</w:t>
            </w:r>
          </w:p>
          <w:p w:rsidR="00F51ABC" w:rsidRPr="008F3EBF" w:rsidRDefault="00F51ABC" w:rsidP="003A214F">
            <w:pPr>
              <w:spacing w:line="276" w:lineRule="auto"/>
              <w:rPr>
                <w:color w:val="000000"/>
                <w:sz w:val="12"/>
                <w:szCs w:val="12"/>
                <w:lang w:val="fr-FR"/>
              </w:rPr>
            </w:pPr>
          </w:p>
          <w:p w:rsidR="00CD06FF" w:rsidRPr="008F3EBF" w:rsidRDefault="00CD06FF" w:rsidP="003A214F">
            <w:pPr>
              <w:spacing w:line="276" w:lineRule="auto"/>
              <w:rPr>
                <w:color w:val="000000"/>
                <w:sz w:val="12"/>
                <w:szCs w:val="12"/>
                <w:lang w:val="fr-FR"/>
              </w:rPr>
            </w:pPr>
          </w:p>
          <w:p w:rsidR="00C94B05" w:rsidRPr="00C94B05" w:rsidRDefault="00CD06FF" w:rsidP="003A214F">
            <w:pPr>
              <w:spacing w:line="276" w:lineRule="auto"/>
              <w:rPr>
                <w:b/>
                <w:color w:val="000000"/>
                <w:sz w:val="18"/>
                <w:lang w:val="fr-FR"/>
              </w:rPr>
            </w:pPr>
            <w:r w:rsidRPr="00C94B05">
              <w:rPr>
                <w:b/>
                <w:color w:val="000000"/>
                <w:sz w:val="18"/>
                <w:lang w:val="fr-FR"/>
              </w:rPr>
              <w:t>-</w:t>
            </w:r>
            <w:r w:rsidR="00F51ABC" w:rsidRPr="00C94B05">
              <w:rPr>
                <w:b/>
                <w:color w:val="000000"/>
                <w:sz w:val="18"/>
                <w:lang w:val="fr-FR"/>
              </w:rPr>
              <w:t xml:space="preserve">  </w:t>
            </w:r>
            <w:r w:rsidR="00C94B05" w:rsidRPr="00C94B05">
              <w:rPr>
                <w:b/>
                <w:color w:val="000000"/>
                <w:sz w:val="18"/>
                <w:lang w:val="fr-FR"/>
              </w:rPr>
              <w:t xml:space="preserve">Attentes des </w:t>
            </w:r>
            <w:r w:rsidR="00C94B05">
              <w:rPr>
                <w:b/>
                <w:color w:val="000000"/>
                <w:sz w:val="18"/>
                <w:lang w:val="fr-FR"/>
              </w:rPr>
              <w:t>ménages :</w:t>
            </w:r>
          </w:p>
          <w:p w:rsidR="00F51ABC" w:rsidRPr="005D76AB" w:rsidRDefault="00F51ABC" w:rsidP="003A214F">
            <w:pPr>
              <w:spacing w:line="276" w:lineRule="auto"/>
              <w:rPr>
                <w:color w:val="000000"/>
                <w:sz w:val="18"/>
                <w:lang w:val="fr-FR"/>
              </w:rPr>
            </w:pPr>
            <w:r w:rsidRPr="005D76AB">
              <w:rPr>
                <w:color w:val="000000"/>
                <w:sz w:val="18"/>
                <w:lang w:val="fr-FR"/>
              </w:rPr>
              <w:t>Les focus-groups réalisés au sein des quartiers pré-identifiés, avec la participation des communautés, suscitent parfois des attentes de la part de ces communautés, notamment lorsque le processus de sélection n’est pas correctement expliqué. Aussi, le manque d’objectivité des communautés pose des problèmes lors des identifications. Il importe alors de mener des enquêtes de vérifications pour confirmer les données des leaders communautaires.</w:t>
            </w:r>
          </w:p>
          <w:p w:rsidR="00F51ABC" w:rsidRPr="008F3EBF" w:rsidRDefault="00F51ABC" w:rsidP="003A214F">
            <w:pPr>
              <w:spacing w:line="276" w:lineRule="auto"/>
              <w:rPr>
                <w:color w:val="000000"/>
                <w:sz w:val="12"/>
                <w:szCs w:val="12"/>
                <w:lang w:val="fr-FR"/>
              </w:rPr>
            </w:pPr>
          </w:p>
          <w:p w:rsidR="00C94B05" w:rsidRPr="00C94B05" w:rsidRDefault="00F51ABC" w:rsidP="003A214F">
            <w:pPr>
              <w:spacing w:line="276" w:lineRule="auto"/>
              <w:rPr>
                <w:b/>
                <w:color w:val="000000"/>
                <w:sz w:val="18"/>
                <w:lang w:val="fr-FR"/>
              </w:rPr>
            </w:pPr>
            <w:r w:rsidRPr="00C94B05">
              <w:rPr>
                <w:b/>
                <w:color w:val="000000"/>
                <w:sz w:val="18"/>
                <w:lang w:val="fr-FR"/>
              </w:rPr>
              <w:t xml:space="preserve">- </w:t>
            </w:r>
            <w:r w:rsidR="00C94B05" w:rsidRPr="00C94B05">
              <w:rPr>
                <w:b/>
                <w:color w:val="000000"/>
                <w:sz w:val="18"/>
                <w:lang w:val="fr-FR"/>
              </w:rPr>
              <w:t>Risques de collusion et de fraudes:</w:t>
            </w:r>
          </w:p>
          <w:p w:rsidR="00F51ABC" w:rsidRPr="005D76AB" w:rsidRDefault="00F51ABC" w:rsidP="003A214F">
            <w:pPr>
              <w:spacing w:line="276" w:lineRule="auto"/>
              <w:rPr>
                <w:color w:val="000000"/>
                <w:sz w:val="18"/>
                <w:lang w:val="fr-FR"/>
              </w:rPr>
            </w:pPr>
            <w:r w:rsidRPr="005D76AB">
              <w:rPr>
                <w:color w:val="000000"/>
                <w:sz w:val="18"/>
                <w:lang w:val="fr-FR"/>
              </w:rPr>
              <w:t>Malgré la présence des Superviseurs Relance Economique ACTED, la présélection des bénéficiaires s’est faite avec la collaboration des Relais Communautaires, ce qui n’excluait pas la possibilité que des ménages soient présélectionnés au détriment de ménages plus vulnérables, selon le bon vouloir du Relais Communautaire (risques de collusion). Il existe également un risque que les Relais influencent les ménages sélectionnés et soient à la base de malversations à l’égard des bénéficiaires, en leur faisant croire qu’ils sont à l’origine de leur sélection (risques de racket). Au vu des résultats de</w:t>
            </w:r>
            <w:r w:rsidR="00291D00">
              <w:rPr>
                <w:color w:val="000000"/>
                <w:sz w:val="18"/>
                <w:lang w:val="fr-FR"/>
              </w:rPr>
              <w:t xml:space="preserve">s </w:t>
            </w:r>
            <w:r w:rsidRPr="005D76AB">
              <w:rPr>
                <w:color w:val="000000"/>
                <w:sz w:val="18"/>
                <w:lang w:val="fr-FR"/>
              </w:rPr>
              <w:t>enquête</w:t>
            </w:r>
            <w:r w:rsidR="00291D00">
              <w:rPr>
                <w:color w:val="000000"/>
                <w:sz w:val="18"/>
                <w:lang w:val="fr-FR"/>
              </w:rPr>
              <w:t xml:space="preserve">s </w:t>
            </w:r>
            <w:r w:rsidRPr="005D76AB">
              <w:rPr>
                <w:color w:val="000000"/>
                <w:sz w:val="18"/>
                <w:lang w:val="fr-FR"/>
              </w:rPr>
              <w:t>initial</w:t>
            </w:r>
            <w:r w:rsidR="00291D00">
              <w:rPr>
                <w:color w:val="000000"/>
                <w:sz w:val="18"/>
                <w:lang w:val="fr-FR"/>
              </w:rPr>
              <w:t>e et finale</w:t>
            </w:r>
            <w:r w:rsidRPr="005D76AB">
              <w:rPr>
                <w:color w:val="000000"/>
                <w:sz w:val="18"/>
                <w:lang w:val="fr-FR"/>
              </w:rPr>
              <w:t>, ce risque a été minimisé. Toutefois, une plus grande autonomisation d’ACTED durant les jours d’enquêtes devrait permettre de réduire ces risques</w:t>
            </w:r>
            <w:r w:rsidR="00291D00" w:rsidRPr="005D76AB">
              <w:rPr>
                <w:color w:val="000000"/>
                <w:sz w:val="18"/>
                <w:lang w:val="fr-FR"/>
              </w:rPr>
              <w:t xml:space="preserve"> au maximum</w:t>
            </w:r>
            <w:r w:rsidRPr="005D76AB">
              <w:rPr>
                <w:color w:val="000000"/>
                <w:sz w:val="18"/>
                <w:lang w:val="fr-FR"/>
              </w:rPr>
              <w:t>.</w:t>
            </w:r>
          </w:p>
          <w:p w:rsidR="00F51ABC" w:rsidRPr="008F3EBF" w:rsidRDefault="00F51ABC" w:rsidP="003A214F">
            <w:pPr>
              <w:spacing w:line="276" w:lineRule="auto"/>
              <w:rPr>
                <w:color w:val="000000"/>
                <w:sz w:val="12"/>
                <w:szCs w:val="12"/>
                <w:lang w:val="fr-FR"/>
              </w:rPr>
            </w:pPr>
          </w:p>
          <w:p w:rsidR="00C94B05" w:rsidRPr="00C94B05" w:rsidRDefault="005D76AB" w:rsidP="003A214F">
            <w:pPr>
              <w:spacing w:line="276" w:lineRule="auto"/>
              <w:rPr>
                <w:b/>
                <w:color w:val="000000"/>
                <w:sz w:val="18"/>
                <w:lang w:val="fr-FR"/>
              </w:rPr>
            </w:pPr>
            <w:r w:rsidRPr="00C94B05">
              <w:rPr>
                <w:b/>
                <w:color w:val="000000"/>
                <w:sz w:val="18"/>
                <w:lang w:val="fr-FR"/>
              </w:rPr>
              <w:t xml:space="preserve">- </w:t>
            </w:r>
            <w:r w:rsidR="00C94B05" w:rsidRPr="00C94B05">
              <w:rPr>
                <w:b/>
                <w:color w:val="000000"/>
                <w:sz w:val="18"/>
                <w:lang w:val="fr-FR"/>
              </w:rPr>
              <w:t xml:space="preserve">Insuffisance du nombre de Superviseurs Relance Economique au cours de la phase de </w:t>
            </w:r>
            <w:r w:rsidRPr="00C94B05">
              <w:rPr>
                <w:b/>
                <w:color w:val="000000"/>
                <w:sz w:val="18"/>
                <w:lang w:val="fr-FR"/>
              </w:rPr>
              <w:t>suivi des bénéficiaires.</w:t>
            </w:r>
          </w:p>
          <w:p w:rsidR="005D76AB" w:rsidRPr="005D76AB" w:rsidRDefault="005D76AB" w:rsidP="003A214F">
            <w:pPr>
              <w:spacing w:line="276" w:lineRule="auto"/>
              <w:rPr>
                <w:color w:val="000000"/>
                <w:sz w:val="18"/>
                <w:lang w:val="fr-FR"/>
              </w:rPr>
            </w:pPr>
            <w:r w:rsidRPr="005D76AB">
              <w:rPr>
                <w:color w:val="000000"/>
                <w:sz w:val="18"/>
                <w:lang w:val="fr-FR"/>
              </w:rPr>
              <w:t xml:space="preserve">Il s’agit notamment de l’insuffisance du nombre de SRE par rapport au nombre de bénéficiaires, qui ne permet pas un suivi optimal et optimum des bénéficiaires. La </w:t>
            </w:r>
            <w:r w:rsidR="00291D00">
              <w:rPr>
                <w:color w:val="000000"/>
                <w:sz w:val="18"/>
                <w:lang w:val="fr-FR"/>
              </w:rPr>
              <w:t xml:space="preserve">période de suivi doit être </w:t>
            </w:r>
            <w:r w:rsidRPr="005D76AB">
              <w:rPr>
                <w:color w:val="000000"/>
                <w:sz w:val="18"/>
                <w:lang w:val="fr-FR"/>
              </w:rPr>
              <w:t>plus longue (au moins 6 mois de suivi) afin d’assurer un suivi plus pertinent et efficient et permettre aux bénéficiaires d’atteindre des niveaux d’activités significatifs, leur permettant de se prendre véritablement en charge sans l’apport du projet.</w:t>
            </w:r>
          </w:p>
          <w:p w:rsidR="00C94B05" w:rsidRPr="008F3EBF" w:rsidRDefault="00C94B05" w:rsidP="003A214F">
            <w:pPr>
              <w:spacing w:line="276" w:lineRule="auto"/>
              <w:rPr>
                <w:color w:val="000000"/>
                <w:sz w:val="12"/>
                <w:szCs w:val="12"/>
                <w:lang w:val="fr-FR"/>
              </w:rPr>
            </w:pPr>
          </w:p>
          <w:p w:rsidR="00C94B05" w:rsidRPr="00C94B05" w:rsidRDefault="00C94B05" w:rsidP="003A214F">
            <w:pPr>
              <w:spacing w:line="276" w:lineRule="auto"/>
              <w:rPr>
                <w:b/>
                <w:color w:val="000000"/>
                <w:sz w:val="18"/>
                <w:lang w:val="fr-FR"/>
              </w:rPr>
            </w:pPr>
            <w:r w:rsidRPr="00C94B05">
              <w:rPr>
                <w:b/>
                <w:color w:val="000000"/>
                <w:sz w:val="18"/>
                <w:lang w:val="fr-FR"/>
              </w:rPr>
              <w:t xml:space="preserve">- Mobilité et  </w:t>
            </w:r>
            <w:r w:rsidR="005D76AB" w:rsidRPr="00C94B05">
              <w:rPr>
                <w:b/>
                <w:color w:val="000000"/>
                <w:sz w:val="18"/>
                <w:lang w:val="fr-FR"/>
              </w:rPr>
              <w:t>indisponibilité de certains bénéficiaires</w:t>
            </w:r>
            <w:r w:rsidRPr="00C94B05">
              <w:rPr>
                <w:b/>
                <w:color w:val="000000"/>
                <w:sz w:val="18"/>
                <w:lang w:val="fr-FR"/>
              </w:rPr>
              <w:t> :</w:t>
            </w:r>
          </w:p>
          <w:p w:rsidR="005D76AB" w:rsidRPr="005D76AB" w:rsidRDefault="00C94B05" w:rsidP="003A214F">
            <w:pPr>
              <w:spacing w:line="276" w:lineRule="auto"/>
              <w:rPr>
                <w:color w:val="000000"/>
                <w:sz w:val="18"/>
                <w:lang w:val="fr-FR"/>
              </w:rPr>
            </w:pPr>
            <w:r>
              <w:rPr>
                <w:color w:val="000000"/>
                <w:sz w:val="18"/>
                <w:lang w:val="fr-FR"/>
              </w:rPr>
              <w:t>Elle</w:t>
            </w:r>
            <w:r w:rsidR="005D76AB" w:rsidRPr="005D76AB">
              <w:rPr>
                <w:color w:val="000000"/>
                <w:sz w:val="18"/>
                <w:lang w:val="fr-FR"/>
              </w:rPr>
              <w:t xml:space="preserve"> a rendu difficile la réalisation de cette activité, entrainant des constants reports des activités de suivi. L’établissement d’un calendrier de suivi avec les bénéficiaires permet de pallier cette limite.</w:t>
            </w:r>
          </w:p>
          <w:p w:rsidR="00C94B05" w:rsidRPr="008F3EBF" w:rsidRDefault="00C94B05" w:rsidP="003A214F">
            <w:pPr>
              <w:spacing w:line="276" w:lineRule="auto"/>
              <w:rPr>
                <w:color w:val="000000"/>
                <w:sz w:val="12"/>
                <w:szCs w:val="12"/>
                <w:lang w:val="fr-FR"/>
              </w:rPr>
            </w:pPr>
          </w:p>
          <w:p w:rsidR="00C94B05" w:rsidRPr="00C94B05" w:rsidRDefault="00C94B05" w:rsidP="003A214F">
            <w:pPr>
              <w:spacing w:line="276" w:lineRule="auto"/>
              <w:rPr>
                <w:b/>
                <w:color w:val="000000"/>
                <w:sz w:val="18"/>
                <w:lang w:val="fr-FR"/>
              </w:rPr>
            </w:pPr>
            <w:r w:rsidRPr="00C94B05">
              <w:rPr>
                <w:b/>
                <w:color w:val="000000"/>
                <w:sz w:val="18"/>
                <w:lang w:val="fr-FR"/>
              </w:rPr>
              <w:t>-  Analphabétisme des bénéficiaires :</w:t>
            </w:r>
          </w:p>
          <w:p w:rsidR="00CD06FF" w:rsidRDefault="005D76AB" w:rsidP="003A214F">
            <w:pPr>
              <w:spacing w:line="276" w:lineRule="auto"/>
              <w:rPr>
                <w:color w:val="000000"/>
                <w:sz w:val="18"/>
                <w:lang w:val="fr-FR"/>
              </w:rPr>
            </w:pPr>
            <w:r w:rsidRPr="005D76AB">
              <w:rPr>
                <w:color w:val="000000"/>
                <w:sz w:val="18"/>
                <w:lang w:val="fr-FR"/>
              </w:rPr>
              <w:t xml:space="preserve">Le taux élevé d’analphabètes </w:t>
            </w:r>
            <w:r w:rsidR="00C94B05" w:rsidRPr="005D76AB">
              <w:rPr>
                <w:color w:val="000000"/>
                <w:sz w:val="18"/>
                <w:lang w:val="fr-FR"/>
              </w:rPr>
              <w:t xml:space="preserve">(54% des bénéficiaires) </w:t>
            </w:r>
            <w:r w:rsidRPr="005D76AB">
              <w:rPr>
                <w:color w:val="000000"/>
                <w:sz w:val="18"/>
                <w:lang w:val="fr-FR"/>
              </w:rPr>
              <w:t>dans les zones d’intervention est aussi une limite au suivi et à la gestion des AGR, notamment pour ce qui est de la comptabilité simplifiée. En effet, les bénéficiaires sont confrontés à des difficultés à remplir convenablement le cahier de caisse ou à comptabiliser et enregistrer leurs opérations. Cela entraine une mauvaise utilisation des cahiers de caisse par les bénéficiaires. Pour réduire cette insuffisance, il leur a été recommandé d’acquérir des calculatrices pour faciliter leurs comptes et recourir à leurs enfants scolarisés ou à des voisins/connaissances.</w:t>
            </w:r>
          </w:p>
          <w:p w:rsidR="00C94B05" w:rsidRPr="008F3EBF" w:rsidRDefault="00C94B05" w:rsidP="003A214F">
            <w:pPr>
              <w:spacing w:line="276" w:lineRule="auto"/>
              <w:rPr>
                <w:color w:val="000000"/>
                <w:sz w:val="12"/>
                <w:szCs w:val="12"/>
                <w:lang w:val="fr-FR"/>
              </w:rPr>
            </w:pPr>
          </w:p>
          <w:p w:rsidR="00C94B05" w:rsidRDefault="00CD06FF" w:rsidP="003A214F">
            <w:pPr>
              <w:spacing w:after="200" w:line="276" w:lineRule="auto"/>
              <w:rPr>
                <w:b/>
                <w:color w:val="000000"/>
                <w:sz w:val="18"/>
                <w:lang w:val="fr-FR"/>
              </w:rPr>
            </w:pPr>
            <w:r w:rsidRPr="00C94B05">
              <w:rPr>
                <w:b/>
                <w:color w:val="000000"/>
                <w:sz w:val="18"/>
                <w:lang w:val="fr-FR"/>
              </w:rPr>
              <w:lastRenderedPageBreak/>
              <w:t>-</w:t>
            </w:r>
            <w:r w:rsidR="00F51ABC" w:rsidRPr="00C94B05">
              <w:rPr>
                <w:b/>
                <w:color w:val="000000"/>
                <w:sz w:val="18"/>
                <w:lang w:val="fr-FR"/>
              </w:rPr>
              <w:t xml:space="preserve">  </w:t>
            </w:r>
            <w:r w:rsidR="00C94B05" w:rsidRPr="00C94B05">
              <w:rPr>
                <w:b/>
                <w:color w:val="000000"/>
                <w:sz w:val="18"/>
                <w:lang w:val="fr-FR"/>
              </w:rPr>
              <w:t>D</w:t>
            </w:r>
            <w:r w:rsidR="00F51ABC" w:rsidRPr="00C94B05">
              <w:rPr>
                <w:b/>
                <w:color w:val="000000"/>
                <w:sz w:val="18"/>
                <w:lang w:val="fr-FR"/>
              </w:rPr>
              <w:t xml:space="preserve">ifficultés techniques de l’opérateur de téléphonie mobile partenaire (MTN) </w:t>
            </w:r>
            <w:r w:rsidR="00C94B05" w:rsidRPr="00C94B05">
              <w:rPr>
                <w:b/>
                <w:color w:val="000000"/>
                <w:sz w:val="18"/>
                <w:lang w:val="fr-FR"/>
              </w:rPr>
              <w:t xml:space="preserve">à la phase de </w:t>
            </w:r>
            <w:r w:rsidR="005D76AB" w:rsidRPr="00C94B05">
              <w:rPr>
                <w:b/>
                <w:color w:val="000000"/>
                <w:sz w:val="18"/>
                <w:lang w:val="fr-FR"/>
              </w:rPr>
              <w:t>distribution des liquidités</w:t>
            </w:r>
          </w:p>
          <w:p w:rsidR="00CD06FF" w:rsidRPr="00C94B05" w:rsidRDefault="00F51ABC" w:rsidP="008F3EBF">
            <w:pPr>
              <w:spacing w:after="120"/>
              <w:rPr>
                <w:b/>
                <w:color w:val="000000"/>
                <w:sz w:val="18"/>
                <w:lang w:val="fr-FR"/>
              </w:rPr>
            </w:pPr>
            <w:r w:rsidRPr="005D76AB">
              <w:rPr>
                <w:color w:val="000000"/>
                <w:sz w:val="18"/>
                <w:lang w:val="fr-FR"/>
              </w:rPr>
              <w:t xml:space="preserve">Il s’agit notamment de perturbations du réseau, de blocages de compte de certains bénéficiaires… qui ont entraîné quelques perturbations au programme établi pour les distributions de liquidités, certains bénéficiaires n’ayant pu entrer en possession de leur argent. Des séances de rattrapage des distributions ont dû être planifiées pour permettre à tous les bénéficiaires de recevoir leur argent. Quelques bénéficiaires ont également perdu leurs cartes SIM et ne pouvaient être payés. Il a ainsi fallu mener des négociations avec MTN afin que de nouvelles cartes SIM leur soit attribuées et que les liquidités leur soient distribuées. </w:t>
            </w:r>
          </w:p>
        </w:tc>
      </w:tr>
      <w:tr w:rsidR="00CD06FF" w:rsidRPr="008F3EBF" w:rsidTr="00B71611">
        <w:tc>
          <w:tcPr>
            <w:tcW w:w="3369" w:type="dxa"/>
            <w:tcBorders>
              <w:top w:val="single" w:sz="4" w:space="0" w:color="auto"/>
              <w:left w:val="single" w:sz="4" w:space="0" w:color="auto"/>
              <w:bottom w:val="single" w:sz="4" w:space="0" w:color="auto"/>
              <w:right w:val="single" w:sz="4" w:space="0" w:color="auto"/>
            </w:tcBorders>
            <w:shd w:val="clear" w:color="auto" w:fill="EAF1DD"/>
            <w:tcMar>
              <w:top w:w="170" w:type="dxa"/>
              <w:bottom w:w="170" w:type="dxa"/>
            </w:tcMar>
            <w:vAlign w:val="center"/>
          </w:tcPr>
          <w:p w:rsidR="00CD06FF" w:rsidRPr="00162C6B" w:rsidRDefault="00CD06FF" w:rsidP="003A214F">
            <w:pPr>
              <w:spacing w:line="276" w:lineRule="auto"/>
              <w:rPr>
                <w:sz w:val="20"/>
                <w:lang w:val="en-US"/>
              </w:rPr>
            </w:pPr>
            <w:r>
              <w:rPr>
                <w:sz w:val="20"/>
                <w:lang w:val="fr-WINDIES"/>
              </w:rPr>
              <w:lastRenderedPageBreak/>
              <w:t>Messages clés à communiquer</w:t>
            </w:r>
          </w:p>
        </w:tc>
        <w:tc>
          <w:tcPr>
            <w:tcW w:w="7229" w:type="dxa"/>
            <w:tcBorders>
              <w:top w:val="single" w:sz="4" w:space="0" w:color="auto"/>
              <w:left w:val="single" w:sz="4" w:space="0" w:color="auto"/>
              <w:bottom w:val="single" w:sz="4" w:space="0" w:color="auto"/>
              <w:right w:val="single" w:sz="4" w:space="0" w:color="auto"/>
            </w:tcBorders>
            <w:shd w:val="clear" w:color="auto" w:fill="EEECE1"/>
            <w:tcMar>
              <w:top w:w="170" w:type="dxa"/>
              <w:bottom w:w="170" w:type="dxa"/>
            </w:tcMar>
            <w:vAlign w:val="center"/>
          </w:tcPr>
          <w:p w:rsidR="00C94B05" w:rsidRPr="00C94B05" w:rsidRDefault="00C94B05" w:rsidP="003A214F">
            <w:pPr>
              <w:spacing w:line="276" w:lineRule="auto"/>
              <w:rPr>
                <w:color w:val="000000"/>
                <w:sz w:val="18"/>
                <w:lang w:val="fr-FR"/>
              </w:rPr>
            </w:pPr>
            <w:r>
              <w:rPr>
                <w:color w:val="000000"/>
                <w:sz w:val="18"/>
                <w:lang w:val="fr-FR"/>
              </w:rPr>
              <w:t>Le projet</w:t>
            </w:r>
            <w:r w:rsidRPr="00C94B05">
              <w:rPr>
                <w:color w:val="000000"/>
                <w:sz w:val="18"/>
                <w:lang w:val="fr-FR"/>
              </w:rPr>
              <w:t xml:space="preserve"> « Atténuer les conséquences négatives persistantes de la crise postélectorale ivoirienne sur la sécurité alimentaire et les moyens d’existence des ménages les plus pauvres d’Abidjan », </w:t>
            </w:r>
            <w:r w:rsidR="00884900">
              <w:rPr>
                <w:color w:val="000000"/>
                <w:sz w:val="18"/>
                <w:lang w:val="fr-FR"/>
              </w:rPr>
              <w:t xml:space="preserve">mis en œuvre, </w:t>
            </w:r>
            <w:r w:rsidRPr="00C94B05">
              <w:rPr>
                <w:color w:val="000000"/>
                <w:sz w:val="18"/>
                <w:lang w:val="fr-FR"/>
              </w:rPr>
              <w:t>avec le soutien financier du Service d’aide humanitaire et de protection civile de la Commission européenne (DG ECHO)</w:t>
            </w:r>
            <w:r w:rsidR="00884900">
              <w:rPr>
                <w:color w:val="000000"/>
                <w:sz w:val="18"/>
                <w:lang w:val="fr-FR"/>
              </w:rPr>
              <w:t xml:space="preserve">, </w:t>
            </w:r>
            <w:r w:rsidRPr="00C94B05">
              <w:rPr>
                <w:color w:val="000000"/>
                <w:sz w:val="18"/>
                <w:lang w:val="fr-FR"/>
              </w:rPr>
              <w:t>sur une période de 7 mois (du 05/06/12 au 06/01/13) dans les comm</w:t>
            </w:r>
            <w:r w:rsidR="00884900">
              <w:rPr>
                <w:color w:val="000000"/>
                <w:sz w:val="18"/>
                <w:lang w:val="fr-FR"/>
              </w:rPr>
              <w:t xml:space="preserve">unes de Yopougon et d’Abobo, </w:t>
            </w:r>
            <w:r w:rsidRPr="00C94B05">
              <w:rPr>
                <w:color w:val="000000"/>
                <w:sz w:val="18"/>
                <w:lang w:val="fr-FR"/>
              </w:rPr>
              <w:t>a permis de soutenir 1800 ménages vulnérables de ces communes à subvenir à leurs besoins essentiels et à relancer une AGR.</w:t>
            </w:r>
          </w:p>
          <w:p w:rsidR="00C94B05" w:rsidRPr="00C94B05" w:rsidRDefault="00C94B05" w:rsidP="003A214F">
            <w:pPr>
              <w:spacing w:line="276" w:lineRule="auto"/>
              <w:rPr>
                <w:color w:val="000000"/>
                <w:sz w:val="18"/>
                <w:lang w:val="fr-FR"/>
              </w:rPr>
            </w:pPr>
            <w:r w:rsidRPr="00C94B05">
              <w:rPr>
                <w:color w:val="000000"/>
                <w:sz w:val="18"/>
                <w:lang w:val="fr-FR"/>
              </w:rPr>
              <w:t>ACTED, a eu recours à diverses méthodologies et approches, basées sur la participation des communautés cibles, qui lui ont permis d’at</w:t>
            </w:r>
            <w:r w:rsidR="00884900">
              <w:rPr>
                <w:color w:val="000000"/>
                <w:sz w:val="18"/>
                <w:lang w:val="fr-FR"/>
              </w:rPr>
              <w:t>teindre les objectifs escomptés</w:t>
            </w:r>
            <w:r w:rsidRPr="00C94B05">
              <w:rPr>
                <w:color w:val="000000"/>
                <w:sz w:val="18"/>
                <w:lang w:val="fr-FR"/>
              </w:rPr>
              <w:t xml:space="preserve">, facilité la participation et l’implication des autorités locales et des communautés cibles, réduit les risques de malversations et de détournement et permis d’améliorer la situation des ménages bénéficiaires. </w:t>
            </w:r>
          </w:p>
          <w:p w:rsidR="00C94B05" w:rsidRPr="00C94B05" w:rsidRDefault="00C94B05" w:rsidP="003A214F">
            <w:pPr>
              <w:spacing w:line="276" w:lineRule="auto"/>
              <w:rPr>
                <w:color w:val="000000"/>
                <w:sz w:val="18"/>
                <w:lang w:val="fr-FR"/>
              </w:rPr>
            </w:pPr>
            <w:r w:rsidRPr="00C94B05">
              <w:rPr>
                <w:color w:val="000000"/>
                <w:sz w:val="18"/>
                <w:lang w:val="fr-FR"/>
              </w:rPr>
              <w:t>Cependant, ces méthodes ont démontré quelques limites, auxquelles il faut répondre, et dont il importe de tenir compte dans le cadre de la mis</w:t>
            </w:r>
            <w:r w:rsidR="003A214F">
              <w:rPr>
                <w:color w:val="000000"/>
                <w:sz w:val="18"/>
                <w:lang w:val="fr-FR"/>
              </w:rPr>
              <w:t>e en œuvre de ce type de projet</w:t>
            </w:r>
            <w:r w:rsidRPr="00C94B05">
              <w:rPr>
                <w:color w:val="000000"/>
                <w:sz w:val="18"/>
                <w:lang w:val="fr-FR"/>
              </w:rPr>
              <w:t>.</w:t>
            </w:r>
            <w:r w:rsidR="00884900">
              <w:rPr>
                <w:color w:val="000000"/>
                <w:sz w:val="18"/>
                <w:lang w:val="fr-FR"/>
              </w:rPr>
              <w:t xml:space="preserve"> Pour améliorer les interventions futures, ACTED propose :</w:t>
            </w:r>
          </w:p>
          <w:p w:rsidR="00C94B05" w:rsidRPr="008F3EBF" w:rsidRDefault="00C94B05" w:rsidP="003A214F">
            <w:pPr>
              <w:spacing w:after="200" w:line="276" w:lineRule="auto"/>
              <w:rPr>
                <w:color w:val="000000"/>
                <w:sz w:val="12"/>
                <w:szCs w:val="12"/>
                <w:lang w:val="fr-FR"/>
              </w:rPr>
            </w:pPr>
          </w:p>
          <w:p w:rsidR="00884900" w:rsidRPr="00884900" w:rsidRDefault="00884900" w:rsidP="003A214F">
            <w:pPr>
              <w:pStyle w:val="Paragraphedeliste"/>
              <w:numPr>
                <w:ilvl w:val="0"/>
                <w:numId w:val="16"/>
              </w:numPr>
              <w:spacing w:after="200" w:line="276" w:lineRule="auto"/>
              <w:rPr>
                <w:b/>
                <w:color w:val="000000"/>
                <w:sz w:val="18"/>
                <w:lang w:val="fr-FR"/>
              </w:rPr>
            </w:pPr>
            <w:r w:rsidRPr="00884900">
              <w:rPr>
                <w:b/>
                <w:color w:val="000000"/>
                <w:sz w:val="18"/>
                <w:lang w:val="fr-FR"/>
              </w:rPr>
              <w:t>Pour la mise en œuvre des projets de Cash transferts :</w:t>
            </w:r>
          </w:p>
          <w:p w:rsidR="00C94B05" w:rsidRPr="00C94B05" w:rsidRDefault="00C94B05" w:rsidP="003A214F">
            <w:pPr>
              <w:spacing w:after="200" w:line="276" w:lineRule="auto"/>
              <w:rPr>
                <w:color w:val="000000"/>
                <w:sz w:val="18"/>
                <w:lang w:val="fr-FR"/>
              </w:rPr>
            </w:pPr>
            <w:r w:rsidRPr="00C94B05">
              <w:rPr>
                <w:color w:val="000000"/>
                <w:sz w:val="18"/>
                <w:lang w:val="fr-FR"/>
              </w:rPr>
              <w:t xml:space="preserve">Ce type de projet nécessitant suffisamment de temps, il importe qu’une période de 6 mois soit dédiée au suivi des bénéficiaires. De plus, en terme de </w:t>
            </w:r>
            <w:proofErr w:type="spellStart"/>
            <w:r w:rsidRPr="00C94B05">
              <w:rPr>
                <w:color w:val="000000"/>
                <w:sz w:val="18"/>
                <w:lang w:val="fr-FR"/>
              </w:rPr>
              <w:t>reporting</w:t>
            </w:r>
            <w:proofErr w:type="spellEnd"/>
            <w:r w:rsidRPr="00C94B05">
              <w:rPr>
                <w:color w:val="000000"/>
                <w:sz w:val="18"/>
                <w:lang w:val="fr-FR"/>
              </w:rPr>
              <w:t>, pour chaque activité menée sur le terrain, une fiche d’animation et un rapport d’activité (ou fiche d’activité) devraient être faits par les agents SRE. Une telle disposition faciliterait la mise en œuvre du projet et le suivi régulier des activités.</w:t>
            </w:r>
          </w:p>
          <w:p w:rsidR="00C94B05" w:rsidRPr="008F3EBF" w:rsidRDefault="00C94B05" w:rsidP="003A214F">
            <w:pPr>
              <w:keepNext/>
              <w:spacing w:line="276" w:lineRule="auto"/>
              <w:rPr>
                <w:color w:val="000000"/>
                <w:sz w:val="12"/>
                <w:szCs w:val="12"/>
                <w:lang w:val="fr-FR"/>
              </w:rPr>
            </w:pPr>
          </w:p>
          <w:p w:rsidR="00C94B05" w:rsidRPr="00884900" w:rsidRDefault="00884900" w:rsidP="003A214F">
            <w:pPr>
              <w:pStyle w:val="Paragraphedeliste"/>
              <w:numPr>
                <w:ilvl w:val="0"/>
                <w:numId w:val="16"/>
              </w:numPr>
              <w:spacing w:after="200" w:line="276" w:lineRule="auto"/>
              <w:rPr>
                <w:b/>
                <w:color w:val="000000"/>
                <w:sz w:val="18"/>
                <w:lang w:val="fr-FR"/>
              </w:rPr>
            </w:pPr>
            <w:r w:rsidRPr="00884900">
              <w:rPr>
                <w:b/>
                <w:color w:val="000000"/>
                <w:sz w:val="18"/>
                <w:lang w:val="fr-FR"/>
              </w:rPr>
              <w:t xml:space="preserve">Pour la </w:t>
            </w:r>
            <w:r w:rsidR="00C94B05" w:rsidRPr="00884900">
              <w:rPr>
                <w:b/>
                <w:color w:val="000000"/>
                <w:sz w:val="18"/>
                <w:lang w:val="fr-FR"/>
              </w:rPr>
              <w:t>phase de sélection</w:t>
            </w:r>
          </w:p>
          <w:p w:rsidR="00C94B05" w:rsidRDefault="00C94B05" w:rsidP="003A214F">
            <w:pPr>
              <w:spacing w:line="276" w:lineRule="auto"/>
              <w:rPr>
                <w:color w:val="000000"/>
                <w:sz w:val="18"/>
                <w:lang w:val="fr-FR"/>
              </w:rPr>
            </w:pPr>
            <w:r w:rsidRPr="00884900">
              <w:rPr>
                <w:color w:val="000000"/>
                <w:sz w:val="18"/>
                <w:lang w:val="fr-FR"/>
              </w:rPr>
              <w:t>Recruter les Relais sur la base d’appels à candidature avec une enquête de moralité. Une telle disposition permettrait de renforcer le contrôle des Relais par la structure d’exécution du projet, renforcera leur degré de responsabilisation et d’intégrité. L’enquête de moralité se fera dans le processus de sélection, au cours de l’interview et d’une enquête auprès de l’entourage et des leaders communautaires ;</w:t>
            </w:r>
          </w:p>
          <w:p w:rsidR="00884900" w:rsidRPr="008F3EBF" w:rsidRDefault="00884900" w:rsidP="003A214F">
            <w:pPr>
              <w:spacing w:line="276" w:lineRule="auto"/>
              <w:rPr>
                <w:color w:val="000000"/>
                <w:sz w:val="12"/>
                <w:szCs w:val="12"/>
                <w:lang w:val="fr-FR"/>
              </w:rPr>
            </w:pPr>
          </w:p>
          <w:p w:rsidR="00C94B05" w:rsidRPr="00C94B05" w:rsidRDefault="00C94B05" w:rsidP="003A214F">
            <w:pPr>
              <w:spacing w:after="200" w:line="276" w:lineRule="auto"/>
              <w:rPr>
                <w:color w:val="000000"/>
                <w:sz w:val="18"/>
                <w:lang w:val="fr-FR"/>
              </w:rPr>
            </w:pPr>
            <w:r w:rsidRPr="00884900">
              <w:rPr>
                <w:color w:val="000000"/>
                <w:sz w:val="18"/>
                <w:lang w:val="fr-FR"/>
              </w:rPr>
              <w:t xml:space="preserve">Améliorer la collaboration et la communication avec les Relais Communautaires. Il importe d’établir une collaboration plus formalisée avec les Relais, dans un contexte urbain de travail communautaire où les principes de bénévolat ne sont pas acquis en </w:t>
            </w:r>
            <w:r w:rsidRPr="00884900">
              <w:rPr>
                <w:color w:val="000000"/>
                <w:sz w:val="18"/>
                <w:lang w:val="fr-FR"/>
              </w:rPr>
              <w:lastRenderedPageBreak/>
              <w:t>raison de la précarité des populations et de la faible adhésion au principe d’appartenance communautaire. Il est suggéré que des réunions régulières de synthèse soient réalisées avec l’ensemble des Relais afin de garder une visibilité sur leurs actions et s’assurer qu’ils comprennent et adhèrent aux principes d’intervention humanitaire ou d’aide au développement ;</w:t>
            </w:r>
          </w:p>
          <w:p w:rsidR="00C94B05" w:rsidRPr="00884900" w:rsidRDefault="00884900" w:rsidP="003A214F">
            <w:pPr>
              <w:pStyle w:val="Paragraphedeliste"/>
              <w:numPr>
                <w:ilvl w:val="0"/>
                <w:numId w:val="16"/>
              </w:numPr>
              <w:spacing w:after="200" w:line="276" w:lineRule="auto"/>
              <w:rPr>
                <w:b/>
                <w:color w:val="000000"/>
                <w:sz w:val="18"/>
                <w:lang w:val="fr-FR"/>
              </w:rPr>
            </w:pPr>
            <w:r>
              <w:rPr>
                <w:b/>
                <w:color w:val="000000"/>
                <w:sz w:val="18"/>
                <w:lang w:val="fr-FR"/>
              </w:rPr>
              <w:t xml:space="preserve">Pour </w:t>
            </w:r>
            <w:r w:rsidR="00C94B05" w:rsidRPr="00884900">
              <w:rPr>
                <w:b/>
                <w:color w:val="000000"/>
                <w:sz w:val="18"/>
                <w:lang w:val="fr-FR"/>
              </w:rPr>
              <w:t xml:space="preserve">la phase des paiements  </w:t>
            </w:r>
          </w:p>
          <w:p w:rsidR="00C94B05" w:rsidRPr="00C94B05" w:rsidRDefault="00C94B05" w:rsidP="003A214F">
            <w:pPr>
              <w:spacing w:line="276" w:lineRule="auto"/>
              <w:rPr>
                <w:color w:val="000000"/>
                <w:sz w:val="18"/>
                <w:lang w:val="fr-FR"/>
              </w:rPr>
            </w:pPr>
            <w:r w:rsidRPr="00C94B05">
              <w:rPr>
                <w:color w:val="000000"/>
                <w:sz w:val="18"/>
                <w:lang w:val="fr-FR"/>
              </w:rPr>
              <w:t xml:space="preserve">Concernant la phase des paiements, il est recommandé de s’appuyer sur l’étude de filières pour adapter les montants en fonction de l’AGR. La mise en œuvre du projet a permis de constater que certaines AGR nécessitaient plus d’investissements que d’autres pour un démarrage significatif, notamment les AGR de type petit commerce de biens manufacturés, élevage, restauration et artisanat à moyen revenu. </w:t>
            </w:r>
          </w:p>
          <w:p w:rsidR="00C94B05" w:rsidRPr="008F3EBF" w:rsidRDefault="00C94B05" w:rsidP="003A214F">
            <w:pPr>
              <w:keepNext/>
              <w:spacing w:line="276" w:lineRule="auto"/>
              <w:rPr>
                <w:color w:val="000000"/>
                <w:sz w:val="12"/>
                <w:szCs w:val="12"/>
                <w:lang w:val="fr-FR"/>
              </w:rPr>
            </w:pPr>
          </w:p>
          <w:p w:rsidR="00C94B05" w:rsidRPr="00884900" w:rsidRDefault="00884900" w:rsidP="003A214F">
            <w:pPr>
              <w:pStyle w:val="Paragraphedeliste"/>
              <w:numPr>
                <w:ilvl w:val="0"/>
                <w:numId w:val="16"/>
              </w:numPr>
              <w:spacing w:after="200" w:line="276" w:lineRule="auto"/>
              <w:rPr>
                <w:b/>
                <w:color w:val="000000"/>
                <w:sz w:val="18"/>
                <w:lang w:val="fr-FR"/>
              </w:rPr>
            </w:pPr>
            <w:r>
              <w:rPr>
                <w:b/>
                <w:color w:val="000000"/>
                <w:sz w:val="18"/>
                <w:lang w:val="fr-FR"/>
              </w:rPr>
              <w:t xml:space="preserve">Pour </w:t>
            </w:r>
            <w:r w:rsidR="00C94B05" w:rsidRPr="00884900">
              <w:rPr>
                <w:b/>
                <w:color w:val="000000"/>
                <w:sz w:val="18"/>
                <w:lang w:val="fr-FR"/>
              </w:rPr>
              <w:t>la phase de suivi des bénéficiaires</w:t>
            </w:r>
          </w:p>
          <w:p w:rsidR="00C94B05" w:rsidRPr="00C94B05" w:rsidRDefault="00C94B05" w:rsidP="003A214F">
            <w:pPr>
              <w:spacing w:line="276" w:lineRule="auto"/>
              <w:rPr>
                <w:color w:val="000000"/>
                <w:sz w:val="18"/>
                <w:lang w:val="fr-FR"/>
              </w:rPr>
            </w:pPr>
            <w:r w:rsidRPr="00C94B05">
              <w:rPr>
                <w:color w:val="000000"/>
                <w:sz w:val="18"/>
                <w:lang w:val="fr-FR"/>
              </w:rPr>
              <w:t xml:space="preserve">L’une des difficultés rencontrées dans le cadre du suivi des bénéficiaires de </w:t>
            </w:r>
            <w:proofErr w:type="spellStart"/>
            <w:r w:rsidRPr="00C94B05">
              <w:rPr>
                <w:color w:val="000000"/>
                <w:sz w:val="18"/>
                <w:lang w:val="fr-FR"/>
              </w:rPr>
              <w:t>TaC</w:t>
            </w:r>
            <w:proofErr w:type="spellEnd"/>
            <w:r w:rsidRPr="00C94B05">
              <w:rPr>
                <w:color w:val="000000"/>
                <w:sz w:val="18"/>
                <w:lang w:val="fr-FR"/>
              </w:rPr>
              <w:t xml:space="preserve"> a été le nombre important de bénéficiaires à suivre par les SRE. Pour assurer un suivi optimal des bénéficiaires ayant relancé une AGR il importe d’adopter un ratio de 120 bénéficiaires par superviseur (10 bénéficiaires suivis par jour et 3 suivis par semaine).</w:t>
            </w:r>
          </w:p>
          <w:p w:rsidR="00C94B05" w:rsidRPr="008F3EBF" w:rsidRDefault="00C94B05" w:rsidP="003A214F">
            <w:pPr>
              <w:keepNext/>
              <w:spacing w:line="276" w:lineRule="auto"/>
              <w:rPr>
                <w:color w:val="000000"/>
                <w:sz w:val="12"/>
                <w:szCs w:val="12"/>
                <w:lang w:val="fr-FR"/>
              </w:rPr>
            </w:pPr>
          </w:p>
          <w:p w:rsidR="00C94B05" w:rsidRPr="00884900" w:rsidRDefault="00884900" w:rsidP="003A214F">
            <w:pPr>
              <w:pStyle w:val="Paragraphedeliste"/>
              <w:numPr>
                <w:ilvl w:val="0"/>
                <w:numId w:val="16"/>
              </w:numPr>
              <w:spacing w:after="200" w:line="276" w:lineRule="auto"/>
              <w:rPr>
                <w:b/>
                <w:color w:val="000000"/>
                <w:sz w:val="18"/>
                <w:lang w:val="fr-FR"/>
              </w:rPr>
            </w:pPr>
            <w:r>
              <w:rPr>
                <w:b/>
                <w:color w:val="000000"/>
                <w:sz w:val="18"/>
                <w:lang w:val="fr-FR"/>
              </w:rPr>
              <w:t xml:space="preserve">Pour </w:t>
            </w:r>
            <w:r w:rsidR="00C94B05" w:rsidRPr="00884900">
              <w:rPr>
                <w:b/>
                <w:color w:val="000000"/>
                <w:sz w:val="18"/>
                <w:lang w:val="fr-FR"/>
              </w:rPr>
              <w:t>les risques de fraudes</w:t>
            </w:r>
          </w:p>
          <w:p w:rsidR="00C94B05" w:rsidRPr="00C94B05" w:rsidRDefault="00C94B05" w:rsidP="003A214F">
            <w:pPr>
              <w:spacing w:line="276" w:lineRule="auto"/>
              <w:rPr>
                <w:color w:val="000000"/>
                <w:sz w:val="18"/>
                <w:lang w:val="fr-FR"/>
              </w:rPr>
            </w:pPr>
            <w:r w:rsidRPr="00C94B05">
              <w:rPr>
                <w:color w:val="000000"/>
                <w:sz w:val="18"/>
                <w:lang w:val="fr-FR"/>
              </w:rPr>
              <w:t>Dans le cadre de la réalisation des activités de transfert de cash il importe de prendre des dispositions pour prévenir et éviter les collusions ou détournements dont pourraient être victimes les bénéficiaires du projet. A cet effet, il est recommandé :</w:t>
            </w:r>
          </w:p>
          <w:p w:rsidR="00884900" w:rsidRPr="00884900" w:rsidRDefault="00884900" w:rsidP="003A214F">
            <w:pPr>
              <w:spacing w:after="200" w:line="276" w:lineRule="auto"/>
              <w:rPr>
                <w:color w:val="000000"/>
                <w:sz w:val="4"/>
                <w:szCs w:val="4"/>
                <w:lang w:val="fr-FR"/>
              </w:rPr>
            </w:pPr>
          </w:p>
          <w:p w:rsidR="00C94B05" w:rsidRPr="00884900" w:rsidRDefault="00C94B05" w:rsidP="003A214F">
            <w:pPr>
              <w:spacing w:after="200" w:line="276" w:lineRule="auto"/>
              <w:rPr>
                <w:color w:val="000000"/>
                <w:sz w:val="18"/>
                <w:lang w:val="fr-FR"/>
              </w:rPr>
            </w:pPr>
            <w:r w:rsidRPr="00884900">
              <w:rPr>
                <w:color w:val="000000"/>
                <w:sz w:val="18"/>
                <w:lang w:val="fr-FR"/>
              </w:rPr>
              <w:t>Lorsque la désignation des Relais Communautaires est faite par les leaders communautaires, ces derniers doivent être davantage responsabilisés sur leur rôle et dans le contrôle des activités des Relais (Compte-rendu régulier des Relais aux leaders communautaires, recours aux leaders communautaires en cas de soupçons, responsabilités partagées entre Relais et leaders communautaires) ;</w:t>
            </w:r>
          </w:p>
          <w:p w:rsidR="00CD06FF" w:rsidRPr="00C94B05" w:rsidRDefault="00C94B05" w:rsidP="003A214F">
            <w:pPr>
              <w:spacing w:after="200" w:line="276" w:lineRule="auto"/>
              <w:rPr>
                <w:color w:val="000000"/>
                <w:sz w:val="18"/>
                <w:lang w:val="fr-FR"/>
              </w:rPr>
            </w:pPr>
            <w:r w:rsidRPr="00C94B05">
              <w:rPr>
                <w:color w:val="000000"/>
                <w:sz w:val="18"/>
                <w:lang w:val="fr-FR"/>
              </w:rPr>
              <w:t>Il importe également, dans le processus de sensibilisation des acteurs, que les bénéficiaires et les Relais soient suffisamment informés qu’ils s’exposent à des poursuites judiciaires en cas de fraudes ou malversations.</w:t>
            </w:r>
          </w:p>
        </w:tc>
      </w:tr>
      <w:tr w:rsidR="00CD06FF" w:rsidRPr="009C31AB" w:rsidTr="00B71611">
        <w:tc>
          <w:tcPr>
            <w:tcW w:w="3369" w:type="dxa"/>
            <w:tcBorders>
              <w:top w:val="single" w:sz="4" w:space="0" w:color="auto"/>
              <w:left w:val="single" w:sz="4" w:space="0" w:color="auto"/>
              <w:bottom w:val="single" w:sz="4" w:space="0" w:color="auto"/>
              <w:right w:val="single" w:sz="4" w:space="0" w:color="auto"/>
            </w:tcBorders>
            <w:shd w:val="clear" w:color="auto" w:fill="EAF1DD"/>
            <w:tcMar>
              <w:top w:w="170" w:type="dxa"/>
              <w:bottom w:w="170" w:type="dxa"/>
            </w:tcMar>
            <w:vAlign w:val="center"/>
          </w:tcPr>
          <w:p w:rsidR="00CD06FF" w:rsidRPr="00017383" w:rsidRDefault="00CD06FF" w:rsidP="003A214F">
            <w:pPr>
              <w:spacing w:line="276" w:lineRule="auto"/>
              <w:rPr>
                <w:sz w:val="20"/>
                <w:lang w:val="en-US"/>
              </w:rPr>
            </w:pPr>
            <w:r w:rsidRPr="00017383">
              <w:rPr>
                <w:sz w:val="20"/>
                <w:lang w:val="en-US"/>
              </w:rPr>
              <w:lastRenderedPageBreak/>
              <w:t>Contact</w:t>
            </w:r>
          </w:p>
          <w:p w:rsidR="00CD06FF" w:rsidRPr="00017383" w:rsidRDefault="00CD06FF" w:rsidP="003A214F">
            <w:pPr>
              <w:spacing w:line="276" w:lineRule="auto"/>
              <w:rPr>
                <w:sz w:val="20"/>
                <w:lang w:val="en-US"/>
              </w:rPr>
            </w:pPr>
            <w:r w:rsidRPr="00017383">
              <w:rPr>
                <w:sz w:val="20"/>
                <w:lang w:val="en-US"/>
              </w:rPr>
              <w:t>(</w:t>
            </w:r>
            <w:r>
              <w:rPr>
                <w:sz w:val="20"/>
                <w:lang w:val="en-US"/>
              </w:rPr>
              <w:t>Nom,</w:t>
            </w:r>
            <w:r w:rsidRPr="00167567">
              <w:rPr>
                <w:sz w:val="20"/>
                <w:lang w:val="fr-WINDIES"/>
              </w:rPr>
              <w:t xml:space="preserve"> adresse électronique</w:t>
            </w:r>
            <w:r w:rsidRPr="00017383">
              <w:rPr>
                <w:sz w:val="20"/>
                <w:lang w:val="en-US"/>
              </w:rPr>
              <w:t>)</w:t>
            </w:r>
          </w:p>
        </w:tc>
        <w:tc>
          <w:tcPr>
            <w:tcW w:w="7229" w:type="dxa"/>
            <w:tcBorders>
              <w:top w:val="single" w:sz="4" w:space="0" w:color="auto"/>
              <w:left w:val="single" w:sz="4" w:space="0" w:color="auto"/>
              <w:bottom w:val="single" w:sz="4" w:space="0" w:color="auto"/>
              <w:right w:val="single" w:sz="4" w:space="0" w:color="auto"/>
            </w:tcBorders>
            <w:shd w:val="clear" w:color="auto" w:fill="EEECE1"/>
            <w:tcMar>
              <w:top w:w="170" w:type="dxa"/>
              <w:bottom w:w="170" w:type="dxa"/>
            </w:tcMar>
            <w:vAlign w:val="center"/>
          </w:tcPr>
          <w:p w:rsidR="00884900" w:rsidRDefault="00291D00" w:rsidP="003A214F">
            <w:pPr>
              <w:spacing w:line="276" w:lineRule="auto"/>
              <w:rPr>
                <w:color w:val="000000"/>
                <w:sz w:val="18"/>
                <w:lang w:val="fr-FR"/>
              </w:rPr>
            </w:pPr>
            <w:r>
              <w:rPr>
                <w:color w:val="000000"/>
                <w:sz w:val="18"/>
                <w:lang w:val="fr-FR"/>
              </w:rPr>
              <w:t>Jérémy LESCOT, Représentant P</w:t>
            </w:r>
            <w:r w:rsidR="00884900">
              <w:rPr>
                <w:color w:val="000000"/>
                <w:sz w:val="18"/>
                <w:lang w:val="fr-FR"/>
              </w:rPr>
              <w:t>ays.</w:t>
            </w:r>
          </w:p>
          <w:p w:rsidR="00884900" w:rsidRDefault="0074077A" w:rsidP="003A214F">
            <w:pPr>
              <w:spacing w:line="276" w:lineRule="auto"/>
              <w:rPr>
                <w:color w:val="000000"/>
                <w:sz w:val="18"/>
                <w:lang w:val="fr-FR"/>
              </w:rPr>
            </w:pPr>
            <w:hyperlink r:id="rId8" w:history="1">
              <w:r w:rsidR="00884900" w:rsidRPr="00C73610">
                <w:rPr>
                  <w:rStyle w:val="Lienhypertexte"/>
                  <w:sz w:val="18"/>
                  <w:lang w:val="fr-FR"/>
                </w:rPr>
                <w:t>Jeremy.lescot@acted.org</w:t>
              </w:r>
            </w:hyperlink>
            <w:r w:rsidR="00884900">
              <w:rPr>
                <w:color w:val="000000"/>
                <w:sz w:val="18"/>
                <w:lang w:val="fr-FR"/>
              </w:rPr>
              <w:t xml:space="preserve"> </w:t>
            </w:r>
          </w:p>
          <w:p w:rsidR="00884900" w:rsidRPr="00B90A12" w:rsidRDefault="00884900" w:rsidP="003A214F">
            <w:pPr>
              <w:spacing w:line="276" w:lineRule="auto"/>
              <w:rPr>
                <w:color w:val="000000"/>
                <w:sz w:val="18"/>
                <w:lang w:val="fr-FR"/>
              </w:rPr>
            </w:pPr>
            <w:r w:rsidRPr="00B90A12">
              <w:rPr>
                <w:color w:val="000000"/>
                <w:sz w:val="18"/>
                <w:lang w:val="fr-FR"/>
              </w:rPr>
              <w:t>Lisa DAOUD, Respons</w:t>
            </w:r>
            <w:r>
              <w:rPr>
                <w:color w:val="000000"/>
                <w:sz w:val="18"/>
                <w:lang w:val="fr-FR"/>
              </w:rPr>
              <w:t>a</w:t>
            </w:r>
            <w:r w:rsidRPr="00B90A12">
              <w:rPr>
                <w:color w:val="000000"/>
                <w:sz w:val="18"/>
                <w:lang w:val="fr-FR"/>
              </w:rPr>
              <w:t xml:space="preserve">ble Développement de Projet </w:t>
            </w:r>
          </w:p>
          <w:p w:rsidR="00CD06FF" w:rsidRPr="00017383" w:rsidRDefault="0074077A" w:rsidP="003A214F">
            <w:pPr>
              <w:spacing w:line="276" w:lineRule="auto"/>
              <w:rPr>
                <w:color w:val="000000"/>
                <w:sz w:val="18"/>
                <w:lang w:val="en-US"/>
              </w:rPr>
            </w:pPr>
            <w:hyperlink r:id="rId9" w:history="1">
              <w:r w:rsidR="00884900" w:rsidRPr="00B90A12">
                <w:rPr>
                  <w:rStyle w:val="Lienhypertexte"/>
                  <w:sz w:val="18"/>
                  <w:lang w:val="fr-FR"/>
                </w:rPr>
                <w:t>lisa.acted@acted.org</w:t>
              </w:r>
            </w:hyperlink>
            <w:r w:rsidR="00884900" w:rsidRPr="00B90A12">
              <w:rPr>
                <w:color w:val="000000"/>
                <w:sz w:val="18"/>
                <w:lang w:val="fr-FR"/>
              </w:rPr>
              <w:t xml:space="preserve">  </w:t>
            </w:r>
          </w:p>
        </w:tc>
      </w:tr>
    </w:tbl>
    <w:p w:rsidR="009D1605" w:rsidRDefault="009D1605" w:rsidP="003A214F">
      <w:pPr>
        <w:spacing w:line="276" w:lineRule="auto"/>
        <w:jc w:val="center"/>
        <w:rPr>
          <w:noProof/>
          <w:lang w:val="fr-FR" w:eastAsia="fr-FR"/>
        </w:rPr>
      </w:pPr>
      <w:bookmarkStart w:id="0" w:name="_GoBack"/>
      <w:bookmarkEnd w:id="0"/>
    </w:p>
    <w:sectPr w:rsidR="009D1605" w:rsidSect="00E25734">
      <w:headerReference w:type="default" r:id="rId10"/>
      <w:pgSz w:w="11907"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77A" w:rsidRDefault="0074077A" w:rsidP="00044DD8">
      <w:r>
        <w:separator/>
      </w:r>
    </w:p>
  </w:endnote>
  <w:endnote w:type="continuationSeparator" w:id="0">
    <w:p w:rsidR="0074077A" w:rsidRDefault="0074077A" w:rsidP="00044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77A" w:rsidRDefault="0074077A" w:rsidP="00044DD8">
      <w:r>
        <w:separator/>
      </w:r>
    </w:p>
  </w:footnote>
  <w:footnote w:type="continuationSeparator" w:id="0">
    <w:p w:rsidR="0074077A" w:rsidRDefault="0074077A" w:rsidP="00044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EBC" w:rsidRDefault="006D7F5F" w:rsidP="00E91EBC">
    <w:pPr>
      <w:pStyle w:val="En-tte"/>
      <w:jc w:val="center"/>
    </w:pPr>
    <w:r>
      <w:rPr>
        <w:rFonts w:cs="Aharoni"/>
        <w:b/>
        <w:noProof/>
        <w:sz w:val="22"/>
        <w:lang w:val="fr-FR" w:eastAsia="fr-FR"/>
      </w:rPr>
      <w:drawing>
        <wp:inline distT="0" distB="0" distL="0" distR="0" wp14:anchorId="4D11A0EC" wp14:editId="385756AD">
          <wp:extent cx="4202430" cy="1245235"/>
          <wp:effectExtent l="0" t="0" r="7620" b="0"/>
          <wp:docPr id="1" name="Picture 2" descr="CaLP_heade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P_header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2430" cy="12452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341"/>
    <w:multiLevelType w:val="hybridMultilevel"/>
    <w:tmpl w:val="96C6BB78"/>
    <w:lvl w:ilvl="0" w:tplc="61DCAC1C">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AC4AEC"/>
    <w:multiLevelType w:val="hybridMultilevel"/>
    <w:tmpl w:val="08D8999C"/>
    <w:lvl w:ilvl="0" w:tplc="B8A63FFC">
      <w:start w:val="9"/>
      <w:numFmt w:val="bullet"/>
      <w:lvlText w:val="-"/>
      <w:lvlJc w:val="left"/>
      <w:pPr>
        <w:ind w:left="720" w:hanging="360"/>
      </w:pPr>
      <w:rPr>
        <w:rFonts w:ascii="Times New Roman" w:eastAsia="Time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6B2194"/>
    <w:multiLevelType w:val="hybridMultilevel"/>
    <w:tmpl w:val="6DEA17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D03567"/>
    <w:multiLevelType w:val="hybridMultilevel"/>
    <w:tmpl w:val="EFF8ADA2"/>
    <w:lvl w:ilvl="0" w:tplc="DB341D2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3B1FD7"/>
    <w:multiLevelType w:val="hybridMultilevel"/>
    <w:tmpl w:val="5936D550"/>
    <w:lvl w:ilvl="0" w:tplc="4134E7FE">
      <w:start w:val="1"/>
      <w:numFmt w:val="bullet"/>
      <w:lvlText w:val=""/>
      <w:lvlJc w:val="left"/>
      <w:pPr>
        <w:ind w:left="720" w:hanging="360"/>
      </w:pPr>
      <w:rPr>
        <w:rFonts w:ascii="Symbol" w:hAnsi="Symbol" w:hint="default"/>
        <w:i/>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9E675C4"/>
    <w:multiLevelType w:val="hybridMultilevel"/>
    <w:tmpl w:val="85663E60"/>
    <w:lvl w:ilvl="0" w:tplc="4134E7FE">
      <w:start w:val="1"/>
      <w:numFmt w:val="bullet"/>
      <w:lvlText w:val=""/>
      <w:lvlJc w:val="left"/>
      <w:pPr>
        <w:ind w:left="1440" w:hanging="360"/>
      </w:pPr>
      <w:rPr>
        <w:rFonts w:ascii="Symbol" w:hAnsi="Symbol" w:hint="default"/>
        <w:i/>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3AFA53FB"/>
    <w:multiLevelType w:val="hybridMultilevel"/>
    <w:tmpl w:val="0F243BDC"/>
    <w:lvl w:ilvl="0" w:tplc="EE7CB5EE">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BB66F45"/>
    <w:multiLevelType w:val="hybridMultilevel"/>
    <w:tmpl w:val="D92276F0"/>
    <w:lvl w:ilvl="0" w:tplc="61DCAC1C">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D1A4F4E"/>
    <w:multiLevelType w:val="hybridMultilevel"/>
    <w:tmpl w:val="32A4267A"/>
    <w:lvl w:ilvl="0" w:tplc="4134E7FE">
      <w:start w:val="1"/>
      <w:numFmt w:val="bullet"/>
      <w:lvlText w:val=""/>
      <w:lvlJc w:val="left"/>
      <w:pPr>
        <w:ind w:left="1440" w:hanging="360"/>
      </w:pPr>
      <w:rPr>
        <w:rFonts w:ascii="Symbol" w:hAnsi="Symbol" w:hint="default"/>
        <w:i/>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3D604FE3"/>
    <w:multiLevelType w:val="hybridMultilevel"/>
    <w:tmpl w:val="07A0E2B8"/>
    <w:lvl w:ilvl="0" w:tplc="A640871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472337"/>
    <w:multiLevelType w:val="hybridMultilevel"/>
    <w:tmpl w:val="3AD204F0"/>
    <w:lvl w:ilvl="0" w:tplc="4134E7FE">
      <w:start w:val="1"/>
      <w:numFmt w:val="bullet"/>
      <w:lvlText w:val=""/>
      <w:lvlJc w:val="left"/>
      <w:pPr>
        <w:ind w:left="720" w:hanging="360"/>
      </w:pPr>
      <w:rPr>
        <w:rFonts w:ascii="Symbol" w:hAnsi="Symbol" w:hint="default"/>
        <w:i/>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02733F5"/>
    <w:multiLevelType w:val="hybridMultilevel"/>
    <w:tmpl w:val="F4924AEA"/>
    <w:lvl w:ilvl="0" w:tplc="61DCAC1C">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5141FA3"/>
    <w:multiLevelType w:val="hybridMultilevel"/>
    <w:tmpl w:val="E620DDCE"/>
    <w:lvl w:ilvl="0" w:tplc="4134E7FE">
      <w:start w:val="1"/>
      <w:numFmt w:val="bullet"/>
      <w:lvlText w:val=""/>
      <w:lvlJc w:val="left"/>
      <w:pPr>
        <w:ind w:left="720" w:hanging="360"/>
      </w:pPr>
      <w:rPr>
        <w:rFonts w:ascii="Symbol" w:hAnsi="Symbol" w:hint="default"/>
        <w:i/>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1647FE9"/>
    <w:multiLevelType w:val="hybridMultilevel"/>
    <w:tmpl w:val="C4D230FA"/>
    <w:lvl w:ilvl="0" w:tplc="4134E7FE">
      <w:start w:val="1"/>
      <w:numFmt w:val="bullet"/>
      <w:lvlText w:val=""/>
      <w:lvlJc w:val="left"/>
      <w:pPr>
        <w:ind w:left="1440" w:hanging="360"/>
      </w:pPr>
      <w:rPr>
        <w:rFonts w:ascii="Symbol" w:hAnsi="Symbol" w:hint="default"/>
        <w:i/>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61A5349F"/>
    <w:multiLevelType w:val="hybridMultilevel"/>
    <w:tmpl w:val="10EA20C4"/>
    <w:lvl w:ilvl="0" w:tplc="4134E7FE">
      <w:start w:val="1"/>
      <w:numFmt w:val="bullet"/>
      <w:lvlText w:val=""/>
      <w:lvlJc w:val="left"/>
      <w:pPr>
        <w:ind w:left="1440" w:hanging="360"/>
      </w:pPr>
      <w:rPr>
        <w:rFonts w:ascii="Symbol" w:hAnsi="Symbol" w:hint="default"/>
        <w:i/>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70635086"/>
    <w:multiLevelType w:val="hybridMultilevel"/>
    <w:tmpl w:val="D76CD322"/>
    <w:lvl w:ilvl="0" w:tplc="61DCAC1C">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CB16D27"/>
    <w:multiLevelType w:val="hybridMultilevel"/>
    <w:tmpl w:val="A91ADEB2"/>
    <w:lvl w:ilvl="0" w:tplc="4FB099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7"/>
  </w:num>
  <w:num w:numId="3">
    <w:abstractNumId w:val="15"/>
  </w:num>
  <w:num w:numId="4">
    <w:abstractNumId w:val="3"/>
  </w:num>
  <w:num w:numId="5">
    <w:abstractNumId w:val="0"/>
  </w:num>
  <w:num w:numId="6">
    <w:abstractNumId w:val="11"/>
  </w:num>
  <w:num w:numId="7">
    <w:abstractNumId w:val="2"/>
  </w:num>
  <w:num w:numId="8">
    <w:abstractNumId w:val="10"/>
  </w:num>
  <w:num w:numId="9">
    <w:abstractNumId w:val="4"/>
  </w:num>
  <w:num w:numId="10">
    <w:abstractNumId w:val="12"/>
  </w:num>
  <w:num w:numId="11">
    <w:abstractNumId w:val="6"/>
  </w:num>
  <w:num w:numId="12">
    <w:abstractNumId w:val="14"/>
  </w:num>
  <w:num w:numId="13">
    <w:abstractNumId w:val="5"/>
  </w:num>
  <w:num w:numId="14">
    <w:abstractNumId w:val="8"/>
  </w:num>
  <w:num w:numId="15">
    <w:abstractNumId w:val="13"/>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48C"/>
    <w:rsid w:val="00000257"/>
    <w:rsid w:val="00000969"/>
    <w:rsid w:val="00001F70"/>
    <w:rsid w:val="0000219A"/>
    <w:rsid w:val="00002D46"/>
    <w:rsid w:val="00003B71"/>
    <w:rsid w:val="000043AA"/>
    <w:rsid w:val="00005E9E"/>
    <w:rsid w:val="000060A4"/>
    <w:rsid w:val="00006E42"/>
    <w:rsid w:val="000105B2"/>
    <w:rsid w:val="00014EF7"/>
    <w:rsid w:val="00015DFF"/>
    <w:rsid w:val="00017383"/>
    <w:rsid w:val="0002142A"/>
    <w:rsid w:val="00022A68"/>
    <w:rsid w:val="000239B4"/>
    <w:rsid w:val="00023AA4"/>
    <w:rsid w:val="00023B3F"/>
    <w:rsid w:val="00024EA6"/>
    <w:rsid w:val="0002523C"/>
    <w:rsid w:val="00027B88"/>
    <w:rsid w:val="000308DF"/>
    <w:rsid w:val="00030C30"/>
    <w:rsid w:val="00031016"/>
    <w:rsid w:val="00031599"/>
    <w:rsid w:val="00036482"/>
    <w:rsid w:val="0004063D"/>
    <w:rsid w:val="00041438"/>
    <w:rsid w:val="00041BBD"/>
    <w:rsid w:val="00042039"/>
    <w:rsid w:val="00043C20"/>
    <w:rsid w:val="00043FAF"/>
    <w:rsid w:val="00044D3B"/>
    <w:rsid w:val="00044DD8"/>
    <w:rsid w:val="00045C92"/>
    <w:rsid w:val="00046BB9"/>
    <w:rsid w:val="00046F41"/>
    <w:rsid w:val="0005080A"/>
    <w:rsid w:val="00050B94"/>
    <w:rsid w:val="00050FD2"/>
    <w:rsid w:val="000532D4"/>
    <w:rsid w:val="000551F6"/>
    <w:rsid w:val="000559B4"/>
    <w:rsid w:val="000571E0"/>
    <w:rsid w:val="00057204"/>
    <w:rsid w:val="00057FE4"/>
    <w:rsid w:val="0006038D"/>
    <w:rsid w:val="000603D0"/>
    <w:rsid w:val="00060FFD"/>
    <w:rsid w:val="0006310A"/>
    <w:rsid w:val="00064373"/>
    <w:rsid w:val="00064488"/>
    <w:rsid w:val="0006497D"/>
    <w:rsid w:val="00064CE8"/>
    <w:rsid w:val="000661BE"/>
    <w:rsid w:val="00072B1C"/>
    <w:rsid w:val="00076ACC"/>
    <w:rsid w:val="000772E9"/>
    <w:rsid w:val="0008220B"/>
    <w:rsid w:val="00082953"/>
    <w:rsid w:val="00084042"/>
    <w:rsid w:val="0008484D"/>
    <w:rsid w:val="000860DB"/>
    <w:rsid w:val="00086C0A"/>
    <w:rsid w:val="000913ED"/>
    <w:rsid w:val="000939AB"/>
    <w:rsid w:val="00093C97"/>
    <w:rsid w:val="000A2570"/>
    <w:rsid w:val="000A3476"/>
    <w:rsid w:val="000A5127"/>
    <w:rsid w:val="000A5A93"/>
    <w:rsid w:val="000A6423"/>
    <w:rsid w:val="000B29DF"/>
    <w:rsid w:val="000B352A"/>
    <w:rsid w:val="000B46DF"/>
    <w:rsid w:val="000B4C2B"/>
    <w:rsid w:val="000B7C62"/>
    <w:rsid w:val="000C2048"/>
    <w:rsid w:val="000C3FE6"/>
    <w:rsid w:val="000C435A"/>
    <w:rsid w:val="000C555D"/>
    <w:rsid w:val="000C5B0D"/>
    <w:rsid w:val="000C68E8"/>
    <w:rsid w:val="000C7CD3"/>
    <w:rsid w:val="000D0BEE"/>
    <w:rsid w:val="000D2071"/>
    <w:rsid w:val="000D2222"/>
    <w:rsid w:val="000D25D4"/>
    <w:rsid w:val="000D3A33"/>
    <w:rsid w:val="000D4261"/>
    <w:rsid w:val="000D5820"/>
    <w:rsid w:val="000D5BC2"/>
    <w:rsid w:val="000D5F96"/>
    <w:rsid w:val="000E2DE4"/>
    <w:rsid w:val="000E3F31"/>
    <w:rsid w:val="000E45C8"/>
    <w:rsid w:val="000E5836"/>
    <w:rsid w:val="000F07D3"/>
    <w:rsid w:val="000F0E62"/>
    <w:rsid w:val="000F1FBE"/>
    <w:rsid w:val="000F2651"/>
    <w:rsid w:val="000F3AB9"/>
    <w:rsid w:val="000F3FC2"/>
    <w:rsid w:val="000F5075"/>
    <w:rsid w:val="000F5230"/>
    <w:rsid w:val="000F59C5"/>
    <w:rsid w:val="000F5ADF"/>
    <w:rsid w:val="000F6925"/>
    <w:rsid w:val="000F71F3"/>
    <w:rsid w:val="00100571"/>
    <w:rsid w:val="0010480C"/>
    <w:rsid w:val="00104A08"/>
    <w:rsid w:val="0010593C"/>
    <w:rsid w:val="0011085B"/>
    <w:rsid w:val="0011107E"/>
    <w:rsid w:val="001114B5"/>
    <w:rsid w:val="00115538"/>
    <w:rsid w:val="00116FBB"/>
    <w:rsid w:val="0012086C"/>
    <w:rsid w:val="001220B0"/>
    <w:rsid w:val="00122EA7"/>
    <w:rsid w:val="0012779D"/>
    <w:rsid w:val="00127DDF"/>
    <w:rsid w:val="001356B5"/>
    <w:rsid w:val="001362EF"/>
    <w:rsid w:val="001415E1"/>
    <w:rsid w:val="0014368C"/>
    <w:rsid w:val="00144082"/>
    <w:rsid w:val="00146318"/>
    <w:rsid w:val="00146B57"/>
    <w:rsid w:val="001520AF"/>
    <w:rsid w:val="001543E5"/>
    <w:rsid w:val="00156E0E"/>
    <w:rsid w:val="00157FED"/>
    <w:rsid w:val="00162B00"/>
    <w:rsid w:val="00162C6B"/>
    <w:rsid w:val="00163939"/>
    <w:rsid w:val="00166465"/>
    <w:rsid w:val="00166909"/>
    <w:rsid w:val="00167567"/>
    <w:rsid w:val="00167598"/>
    <w:rsid w:val="0017108B"/>
    <w:rsid w:val="001725C1"/>
    <w:rsid w:val="00173E90"/>
    <w:rsid w:val="00173FDA"/>
    <w:rsid w:val="00177805"/>
    <w:rsid w:val="001801DF"/>
    <w:rsid w:val="00180AB7"/>
    <w:rsid w:val="00181837"/>
    <w:rsid w:val="0018395A"/>
    <w:rsid w:val="00190585"/>
    <w:rsid w:val="00191895"/>
    <w:rsid w:val="00192452"/>
    <w:rsid w:val="00193E14"/>
    <w:rsid w:val="0019476C"/>
    <w:rsid w:val="001978CC"/>
    <w:rsid w:val="00197E09"/>
    <w:rsid w:val="001A06C3"/>
    <w:rsid w:val="001A30B7"/>
    <w:rsid w:val="001A36F1"/>
    <w:rsid w:val="001A56E0"/>
    <w:rsid w:val="001A5FAE"/>
    <w:rsid w:val="001A6FDF"/>
    <w:rsid w:val="001B0457"/>
    <w:rsid w:val="001B07C0"/>
    <w:rsid w:val="001B09CC"/>
    <w:rsid w:val="001B1D44"/>
    <w:rsid w:val="001B216A"/>
    <w:rsid w:val="001B2AFE"/>
    <w:rsid w:val="001B2D09"/>
    <w:rsid w:val="001B7BD4"/>
    <w:rsid w:val="001B7F32"/>
    <w:rsid w:val="001C2971"/>
    <w:rsid w:val="001C2A87"/>
    <w:rsid w:val="001C3AF7"/>
    <w:rsid w:val="001C5E8F"/>
    <w:rsid w:val="001D35AA"/>
    <w:rsid w:val="001D4D6D"/>
    <w:rsid w:val="001D7BE5"/>
    <w:rsid w:val="001E524E"/>
    <w:rsid w:val="001E71F3"/>
    <w:rsid w:val="001E7EB8"/>
    <w:rsid w:val="001F332E"/>
    <w:rsid w:val="001F3F70"/>
    <w:rsid w:val="001F4C9B"/>
    <w:rsid w:val="001F5345"/>
    <w:rsid w:val="00201408"/>
    <w:rsid w:val="0020662C"/>
    <w:rsid w:val="002077E1"/>
    <w:rsid w:val="002101BA"/>
    <w:rsid w:val="00211220"/>
    <w:rsid w:val="0021337B"/>
    <w:rsid w:val="00213F98"/>
    <w:rsid w:val="00217F8B"/>
    <w:rsid w:val="00220912"/>
    <w:rsid w:val="00221A60"/>
    <w:rsid w:val="002232DA"/>
    <w:rsid w:val="00230F96"/>
    <w:rsid w:val="002311BA"/>
    <w:rsid w:val="00231F08"/>
    <w:rsid w:val="00232248"/>
    <w:rsid w:val="0023528D"/>
    <w:rsid w:val="002378CB"/>
    <w:rsid w:val="002401BA"/>
    <w:rsid w:val="00241C22"/>
    <w:rsid w:val="0024294B"/>
    <w:rsid w:val="00244524"/>
    <w:rsid w:val="0024488C"/>
    <w:rsid w:val="002462AA"/>
    <w:rsid w:val="00250E37"/>
    <w:rsid w:val="00251A45"/>
    <w:rsid w:val="00251D21"/>
    <w:rsid w:val="00252149"/>
    <w:rsid w:val="00252B9E"/>
    <w:rsid w:val="00253781"/>
    <w:rsid w:val="00255193"/>
    <w:rsid w:val="00255264"/>
    <w:rsid w:val="002565AF"/>
    <w:rsid w:val="002579D7"/>
    <w:rsid w:val="00262A45"/>
    <w:rsid w:val="002639CE"/>
    <w:rsid w:val="0026421C"/>
    <w:rsid w:val="002673AF"/>
    <w:rsid w:val="002701DC"/>
    <w:rsid w:val="002702DF"/>
    <w:rsid w:val="00270566"/>
    <w:rsid w:val="00272C1D"/>
    <w:rsid w:val="002734B6"/>
    <w:rsid w:val="00273594"/>
    <w:rsid w:val="002746FD"/>
    <w:rsid w:val="002767DF"/>
    <w:rsid w:val="002774CD"/>
    <w:rsid w:val="0027782B"/>
    <w:rsid w:val="00281476"/>
    <w:rsid w:val="002814FC"/>
    <w:rsid w:val="002819CD"/>
    <w:rsid w:val="00281C16"/>
    <w:rsid w:val="00282902"/>
    <w:rsid w:val="00283DE9"/>
    <w:rsid w:val="002862EE"/>
    <w:rsid w:val="002879C2"/>
    <w:rsid w:val="00287CFA"/>
    <w:rsid w:val="00287D10"/>
    <w:rsid w:val="002918D1"/>
    <w:rsid w:val="00291D00"/>
    <w:rsid w:val="00296B89"/>
    <w:rsid w:val="002A1521"/>
    <w:rsid w:val="002A251A"/>
    <w:rsid w:val="002A280B"/>
    <w:rsid w:val="002A3369"/>
    <w:rsid w:val="002A42AA"/>
    <w:rsid w:val="002A6A14"/>
    <w:rsid w:val="002B13F6"/>
    <w:rsid w:val="002B1CDA"/>
    <w:rsid w:val="002B2199"/>
    <w:rsid w:val="002B2D77"/>
    <w:rsid w:val="002B59C6"/>
    <w:rsid w:val="002B7B71"/>
    <w:rsid w:val="002C14FF"/>
    <w:rsid w:val="002C2697"/>
    <w:rsid w:val="002C27F2"/>
    <w:rsid w:val="002C2E34"/>
    <w:rsid w:val="002C35D1"/>
    <w:rsid w:val="002C3792"/>
    <w:rsid w:val="002C3DA5"/>
    <w:rsid w:val="002C4C5F"/>
    <w:rsid w:val="002D02FB"/>
    <w:rsid w:val="002D28EC"/>
    <w:rsid w:val="002D2B9D"/>
    <w:rsid w:val="002D3047"/>
    <w:rsid w:val="002D5DD5"/>
    <w:rsid w:val="002E15EF"/>
    <w:rsid w:val="002E250C"/>
    <w:rsid w:val="002E4234"/>
    <w:rsid w:val="002E5320"/>
    <w:rsid w:val="002E6B4E"/>
    <w:rsid w:val="002E6BA0"/>
    <w:rsid w:val="002F0097"/>
    <w:rsid w:val="002F02AA"/>
    <w:rsid w:val="002F14B2"/>
    <w:rsid w:val="002F36F1"/>
    <w:rsid w:val="002F4EA1"/>
    <w:rsid w:val="002F53F2"/>
    <w:rsid w:val="002F7C27"/>
    <w:rsid w:val="00300077"/>
    <w:rsid w:val="00303B14"/>
    <w:rsid w:val="003053F6"/>
    <w:rsid w:val="00306797"/>
    <w:rsid w:val="003068D9"/>
    <w:rsid w:val="003073D0"/>
    <w:rsid w:val="00307782"/>
    <w:rsid w:val="003107F9"/>
    <w:rsid w:val="003118CB"/>
    <w:rsid w:val="0031217A"/>
    <w:rsid w:val="0031423C"/>
    <w:rsid w:val="0031520C"/>
    <w:rsid w:val="00315689"/>
    <w:rsid w:val="0031672A"/>
    <w:rsid w:val="003171EC"/>
    <w:rsid w:val="00317AAC"/>
    <w:rsid w:val="003245E1"/>
    <w:rsid w:val="0032504D"/>
    <w:rsid w:val="00325C08"/>
    <w:rsid w:val="00326152"/>
    <w:rsid w:val="00326AC7"/>
    <w:rsid w:val="003307B6"/>
    <w:rsid w:val="00331683"/>
    <w:rsid w:val="003323D5"/>
    <w:rsid w:val="00332AFA"/>
    <w:rsid w:val="00333572"/>
    <w:rsid w:val="003342F6"/>
    <w:rsid w:val="00334BFC"/>
    <w:rsid w:val="00334EA1"/>
    <w:rsid w:val="003372F3"/>
    <w:rsid w:val="003417D7"/>
    <w:rsid w:val="00342B7F"/>
    <w:rsid w:val="00343A50"/>
    <w:rsid w:val="00346843"/>
    <w:rsid w:val="00352050"/>
    <w:rsid w:val="00352D9E"/>
    <w:rsid w:val="0035344A"/>
    <w:rsid w:val="0035457E"/>
    <w:rsid w:val="00354F5A"/>
    <w:rsid w:val="00357732"/>
    <w:rsid w:val="0036026B"/>
    <w:rsid w:val="00360614"/>
    <w:rsid w:val="003620B7"/>
    <w:rsid w:val="00362AB0"/>
    <w:rsid w:val="00363528"/>
    <w:rsid w:val="00366EC0"/>
    <w:rsid w:val="0036722A"/>
    <w:rsid w:val="0036748C"/>
    <w:rsid w:val="00367D52"/>
    <w:rsid w:val="00372B4E"/>
    <w:rsid w:val="00373D5B"/>
    <w:rsid w:val="00377556"/>
    <w:rsid w:val="003779B7"/>
    <w:rsid w:val="00380E8B"/>
    <w:rsid w:val="00381BF1"/>
    <w:rsid w:val="00383A65"/>
    <w:rsid w:val="00386BB0"/>
    <w:rsid w:val="00387CEE"/>
    <w:rsid w:val="00390421"/>
    <w:rsid w:val="003907E1"/>
    <w:rsid w:val="003914BA"/>
    <w:rsid w:val="00391579"/>
    <w:rsid w:val="003916A2"/>
    <w:rsid w:val="0039243F"/>
    <w:rsid w:val="00392A69"/>
    <w:rsid w:val="00392A99"/>
    <w:rsid w:val="003949AE"/>
    <w:rsid w:val="0039672D"/>
    <w:rsid w:val="003974AC"/>
    <w:rsid w:val="003A0346"/>
    <w:rsid w:val="003A1B53"/>
    <w:rsid w:val="003A214F"/>
    <w:rsid w:val="003A4D3D"/>
    <w:rsid w:val="003A53FC"/>
    <w:rsid w:val="003A55B9"/>
    <w:rsid w:val="003A5754"/>
    <w:rsid w:val="003B085A"/>
    <w:rsid w:val="003B2480"/>
    <w:rsid w:val="003B25D8"/>
    <w:rsid w:val="003B4CED"/>
    <w:rsid w:val="003B561F"/>
    <w:rsid w:val="003B5F86"/>
    <w:rsid w:val="003B60C1"/>
    <w:rsid w:val="003C1AA9"/>
    <w:rsid w:val="003C22BF"/>
    <w:rsid w:val="003C2816"/>
    <w:rsid w:val="003C34DE"/>
    <w:rsid w:val="003C573A"/>
    <w:rsid w:val="003C5A10"/>
    <w:rsid w:val="003C6BF8"/>
    <w:rsid w:val="003C7516"/>
    <w:rsid w:val="003D0DE2"/>
    <w:rsid w:val="003D3E75"/>
    <w:rsid w:val="003D439C"/>
    <w:rsid w:val="003E43CF"/>
    <w:rsid w:val="003E5749"/>
    <w:rsid w:val="003F2A70"/>
    <w:rsid w:val="003F2F1B"/>
    <w:rsid w:val="003F3142"/>
    <w:rsid w:val="003F3FD5"/>
    <w:rsid w:val="003F486E"/>
    <w:rsid w:val="003F53A8"/>
    <w:rsid w:val="00410EE9"/>
    <w:rsid w:val="00411E26"/>
    <w:rsid w:val="00412A39"/>
    <w:rsid w:val="004138A9"/>
    <w:rsid w:val="00414745"/>
    <w:rsid w:val="00417063"/>
    <w:rsid w:val="004170A1"/>
    <w:rsid w:val="00421004"/>
    <w:rsid w:val="0042511C"/>
    <w:rsid w:val="00425618"/>
    <w:rsid w:val="00425D95"/>
    <w:rsid w:val="00426E92"/>
    <w:rsid w:val="0042729E"/>
    <w:rsid w:val="00431AED"/>
    <w:rsid w:val="00433462"/>
    <w:rsid w:val="00434D16"/>
    <w:rsid w:val="00435E36"/>
    <w:rsid w:val="00435F54"/>
    <w:rsid w:val="0043663D"/>
    <w:rsid w:val="00437C71"/>
    <w:rsid w:val="00437F06"/>
    <w:rsid w:val="00437F4A"/>
    <w:rsid w:val="00440D0B"/>
    <w:rsid w:val="00442397"/>
    <w:rsid w:val="00444A4B"/>
    <w:rsid w:val="00444E47"/>
    <w:rsid w:val="0044550F"/>
    <w:rsid w:val="004508D3"/>
    <w:rsid w:val="00450A8A"/>
    <w:rsid w:val="004528DD"/>
    <w:rsid w:val="004541FE"/>
    <w:rsid w:val="004549A8"/>
    <w:rsid w:val="0045526B"/>
    <w:rsid w:val="004565A1"/>
    <w:rsid w:val="004568DB"/>
    <w:rsid w:val="00457162"/>
    <w:rsid w:val="00462042"/>
    <w:rsid w:val="00463F23"/>
    <w:rsid w:val="00466B28"/>
    <w:rsid w:val="00472AF3"/>
    <w:rsid w:val="00473C8A"/>
    <w:rsid w:val="0048046B"/>
    <w:rsid w:val="00480B82"/>
    <w:rsid w:val="00481350"/>
    <w:rsid w:val="0048368A"/>
    <w:rsid w:val="00484804"/>
    <w:rsid w:val="00485154"/>
    <w:rsid w:val="00486047"/>
    <w:rsid w:val="00486330"/>
    <w:rsid w:val="00486608"/>
    <w:rsid w:val="00487104"/>
    <w:rsid w:val="00490266"/>
    <w:rsid w:val="00490CBF"/>
    <w:rsid w:val="004932D9"/>
    <w:rsid w:val="004A068F"/>
    <w:rsid w:val="004A296F"/>
    <w:rsid w:val="004A5E79"/>
    <w:rsid w:val="004A6E70"/>
    <w:rsid w:val="004A7AAA"/>
    <w:rsid w:val="004A7DDA"/>
    <w:rsid w:val="004B25C4"/>
    <w:rsid w:val="004B38DE"/>
    <w:rsid w:val="004B3F9E"/>
    <w:rsid w:val="004B581B"/>
    <w:rsid w:val="004B5C61"/>
    <w:rsid w:val="004B774F"/>
    <w:rsid w:val="004B7DBA"/>
    <w:rsid w:val="004C0259"/>
    <w:rsid w:val="004C209E"/>
    <w:rsid w:val="004C23F5"/>
    <w:rsid w:val="004C34DA"/>
    <w:rsid w:val="004C3B62"/>
    <w:rsid w:val="004D1906"/>
    <w:rsid w:val="004D2F9F"/>
    <w:rsid w:val="004D3938"/>
    <w:rsid w:val="004D45F2"/>
    <w:rsid w:val="004E0162"/>
    <w:rsid w:val="004E1266"/>
    <w:rsid w:val="004E24E3"/>
    <w:rsid w:val="004E3810"/>
    <w:rsid w:val="004E705C"/>
    <w:rsid w:val="004F28B0"/>
    <w:rsid w:val="004F2DB8"/>
    <w:rsid w:val="004F42B0"/>
    <w:rsid w:val="004F6D92"/>
    <w:rsid w:val="005005F1"/>
    <w:rsid w:val="00500CB4"/>
    <w:rsid w:val="00504D5F"/>
    <w:rsid w:val="005067D4"/>
    <w:rsid w:val="005116C1"/>
    <w:rsid w:val="005120FB"/>
    <w:rsid w:val="00514CBB"/>
    <w:rsid w:val="00514F9B"/>
    <w:rsid w:val="00515E89"/>
    <w:rsid w:val="005166BD"/>
    <w:rsid w:val="00517029"/>
    <w:rsid w:val="00517EAA"/>
    <w:rsid w:val="00517FD0"/>
    <w:rsid w:val="00520A5E"/>
    <w:rsid w:val="005215E9"/>
    <w:rsid w:val="0052337D"/>
    <w:rsid w:val="005233B8"/>
    <w:rsid w:val="00526FC1"/>
    <w:rsid w:val="005319A6"/>
    <w:rsid w:val="00531B04"/>
    <w:rsid w:val="00534BB1"/>
    <w:rsid w:val="0053709A"/>
    <w:rsid w:val="0053770F"/>
    <w:rsid w:val="00537D0E"/>
    <w:rsid w:val="005419F8"/>
    <w:rsid w:val="00542C8B"/>
    <w:rsid w:val="005439AD"/>
    <w:rsid w:val="00553A20"/>
    <w:rsid w:val="00555ECD"/>
    <w:rsid w:val="00555FF3"/>
    <w:rsid w:val="005649F9"/>
    <w:rsid w:val="00566988"/>
    <w:rsid w:val="0056748C"/>
    <w:rsid w:val="005700E2"/>
    <w:rsid w:val="0057028D"/>
    <w:rsid w:val="005703C7"/>
    <w:rsid w:val="005705C3"/>
    <w:rsid w:val="00581A25"/>
    <w:rsid w:val="005824E9"/>
    <w:rsid w:val="005831F2"/>
    <w:rsid w:val="00583D01"/>
    <w:rsid w:val="00584BDE"/>
    <w:rsid w:val="00591A4D"/>
    <w:rsid w:val="0059381A"/>
    <w:rsid w:val="00595346"/>
    <w:rsid w:val="00596D07"/>
    <w:rsid w:val="005974B2"/>
    <w:rsid w:val="005A1817"/>
    <w:rsid w:val="005A49C3"/>
    <w:rsid w:val="005A6602"/>
    <w:rsid w:val="005A708F"/>
    <w:rsid w:val="005B01A4"/>
    <w:rsid w:val="005B20C2"/>
    <w:rsid w:val="005B2A6A"/>
    <w:rsid w:val="005B482A"/>
    <w:rsid w:val="005B5DB4"/>
    <w:rsid w:val="005C1C7A"/>
    <w:rsid w:val="005C23E2"/>
    <w:rsid w:val="005C6EB5"/>
    <w:rsid w:val="005C7170"/>
    <w:rsid w:val="005C77AA"/>
    <w:rsid w:val="005C7E43"/>
    <w:rsid w:val="005D2CAA"/>
    <w:rsid w:val="005D61BC"/>
    <w:rsid w:val="005D76AB"/>
    <w:rsid w:val="005D79FF"/>
    <w:rsid w:val="005E145B"/>
    <w:rsid w:val="005E5401"/>
    <w:rsid w:val="005E55B4"/>
    <w:rsid w:val="005E5919"/>
    <w:rsid w:val="005E6414"/>
    <w:rsid w:val="005E65DA"/>
    <w:rsid w:val="005F0122"/>
    <w:rsid w:val="005F03BC"/>
    <w:rsid w:val="005F1301"/>
    <w:rsid w:val="005F1A4E"/>
    <w:rsid w:val="005F3033"/>
    <w:rsid w:val="005F3C1B"/>
    <w:rsid w:val="005F3F78"/>
    <w:rsid w:val="005F66AC"/>
    <w:rsid w:val="005F7DC3"/>
    <w:rsid w:val="0060097F"/>
    <w:rsid w:val="0060113B"/>
    <w:rsid w:val="006036D2"/>
    <w:rsid w:val="00603BFA"/>
    <w:rsid w:val="00604569"/>
    <w:rsid w:val="0060509C"/>
    <w:rsid w:val="00605A79"/>
    <w:rsid w:val="00606164"/>
    <w:rsid w:val="00610D74"/>
    <w:rsid w:val="006118F4"/>
    <w:rsid w:val="00611DAA"/>
    <w:rsid w:val="0061267E"/>
    <w:rsid w:val="00615DF5"/>
    <w:rsid w:val="006163E9"/>
    <w:rsid w:val="00620336"/>
    <w:rsid w:val="006209A8"/>
    <w:rsid w:val="0062143E"/>
    <w:rsid w:val="00621B88"/>
    <w:rsid w:val="00622210"/>
    <w:rsid w:val="00625A7E"/>
    <w:rsid w:val="00625E71"/>
    <w:rsid w:val="00626DD6"/>
    <w:rsid w:val="006271DA"/>
    <w:rsid w:val="00631399"/>
    <w:rsid w:val="00631EA9"/>
    <w:rsid w:val="0063418E"/>
    <w:rsid w:val="006358A2"/>
    <w:rsid w:val="00640043"/>
    <w:rsid w:val="00640B53"/>
    <w:rsid w:val="0064281C"/>
    <w:rsid w:val="00642FC4"/>
    <w:rsid w:val="00650873"/>
    <w:rsid w:val="0065270B"/>
    <w:rsid w:val="00652C8B"/>
    <w:rsid w:val="00654964"/>
    <w:rsid w:val="00655DCB"/>
    <w:rsid w:val="00657BDD"/>
    <w:rsid w:val="0066025F"/>
    <w:rsid w:val="006604A2"/>
    <w:rsid w:val="006621A5"/>
    <w:rsid w:val="00671557"/>
    <w:rsid w:val="00672215"/>
    <w:rsid w:val="00672555"/>
    <w:rsid w:val="00675443"/>
    <w:rsid w:val="0067798C"/>
    <w:rsid w:val="00681201"/>
    <w:rsid w:val="006813DC"/>
    <w:rsid w:val="00686657"/>
    <w:rsid w:val="0068693D"/>
    <w:rsid w:val="00691C65"/>
    <w:rsid w:val="00693CBB"/>
    <w:rsid w:val="00695BEB"/>
    <w:rsid w:val="00696721"/>
    <w:rsid w:val="00697028"/>
    <w:rsid w:val="00697C4C"/>
    <w:rsid w:val="00697F7A"/>
    <w:rsid w:val="006A11D1"/>
    <w:rsid w:val="006A222E"/>
    <w:rsid w:val="006A26F1"/>
    <w:rsid w:val="006A74A1"/>
    <w:rsid w:val="006B1D6D"/>
    <w:rsid w:val="006B233C"/>
    <w:rsid w:val="006C07B6"/>
    <w:rsid w:val="006C0BB5"/>
    <w:rsid w:val="006C4CB7"/>
    <w:rsid w:val="006C54C4"/>
    <w:rsid w:val="006C594A"/>
    <w:rsid w:val="006C5B6E"/>
    <w:rsid w:val="006C5E68"/>
    <w:rsid w:val="006C69DA"/>
    <w:rsid w:val="006C6FAA"/>
    <w:rsid w:val="006D02BD"/>
    <w:rsid w:val="006D1FA1"/>
    <w:rsid w:val="006D2883"/>
    <w:rsid w:val="006D534F"/>
    <w:rsid w:val="006D7F5F"/>
    <w:rsid w:val="006E1A03"/>
    <w:rsid w:val="006E4712"/>
    <w:rsid w:val="006E7667"/>
    <w:rsid w:val="006F0492"/>
    <w:rsid w:val="006F14A8"/>
    <w:rsid w:val="006F3D28"/>
    <w:rsid w:val="006F7D5D"/>
    <w:rsid w:val="007027FB"/>
    <w:rsid w:val="00702D32"/>
    <w:rsid w:val="0070712B"/>
    <w:rsid w:val="007116BA"/>
    <w:rsid w:val="00711B6A"/>
    <w:rsid w:val="00712206"/>
    <w:rsid w:val="00712DE0"/>
    <w:rsid w:val="00712E3E"/>
    <w:rsid w:val="0071366E"/>
    <w:rsid w:val="00713D77"/>
    <w:rsid w:val="007159BB"/>
    <w:rsid w:val="00720755"/>
    <w:rsid w:val="0072091F"/>
    <w:rsid w:val="00722910"/>
    <w:rsid w:val="00722D08"/>
    <w:rsid w:val="007251AD"/>
    <w:rsid w:val="00726AAF"/>
    <w:rsid w:val="00726F0F"/>
    <w:rsid w:val="00730BA6"/>
    <w:rsid w:val="00731E15"/>
    <w:rsid w:val="00732930"/>
    <w:rsid w:val="00732D3B"/>
    <w:rsid w:val="007351DC"/>
    <w:rsid w:val="00735647"/>
    <w:rsid w:val="00735FAD"/>
    <w:rsid w:val="0074077A"/>
    <w:rsid w:val="0074187E"/>
    <w:rsid w:val="00744D12"/>
    <w:rsid w:val="00747A4A"/>
    <w:rsid w:val="0075042E"/>
    <w:rsid w:val="00753848"/>
    <w:rsid w:val="00760822"/>
    <w:rsid w:val="007613B2"/>
    <w:rsid w:val="00761CC3"/>
    <w:rsid w:val="007640ED"/>
    <w:rsid w:val="007644AE"/>
    <w:rsid w:val="00766DF0"/>
    <w:rsid w:val="00766E9F"/>
    <w:rsid w:val="0077177D"/>
    <w:rsid w:val="00782C58"/>
    <w:rsid w:val="00790468"/>
    <w:rsid w:val="007919A3"/>
    <w:rsid w:val="00793261"/>
    <w:rsid w:val="00793620"/>
    <w:rsid w:val="007955A1"/>
    <w:rsid w:val="00796089"/>
    <w:rsid w:val="00796133"/>
    <w:rsid w:val="007A33BD"/>
    <w:rsid w:val="007A3863"/>
    <w:rsid w:val="007A58D7"/>
    <w:rsid w:val="007A6544"/>
    <w:rsid w:val="007B04A8"/>
    <w:rsid w:val="007B05CB"/>
    <w:rsid w:val="007B39E5"/>
    <w:rsid w:val="007B692F"/>
    <w:rsid w:val="007B7A87"/>
    <w:rsid w:val="007C0D20"/>
    <w:rsid w:val="007C1FB5"/>
    <w:rsid w:val="007C5168"/>
    <w:rsid w:val="007C5870"/>
    <w:rsid w:val="007C6F6D"/>
    <w:rsid w:val="007C7258"/>
    <w:rsid w:val="007D0BFB"/>
    <w:rsid w:val="007D1A37"/>
    <w:rsid w:val="007D2DED"/>
    <w:rsid w:val="007D35A6"/>
    <w:rsid w:val="007D40B3"/>
    <w:rsid w:val="007D4293"/>
    <w:rsid w:val="007D7034"/>
    <w:rsid w:val="007E1901"/>
    <w:rsid w:val="007E1D8D"/>
    <w:rsid w:val="007E36B9"/>
    <w:rsid w:val="007E6A8C"/>
    <w:rsid w:val="007F0157"/>
    <w:rsid w:val="007F0315"/>
    <w:rsid w:val="007F1FC2"/>
    <w:rsid w:val="007F38C9"/>
    <w:rsid w:val="007F6265"/>
    <w:rsid w:val="007F79BE"/>
    <w:rsid w:val="007F7B1B"/>
    <w:rsid w:val="00800C75"/>
    <w:rsid w:val="00802693"/>
    <w:rsid w:val="0080306E"/>
    <w:rsid w:val="00806E92"/>
    <w:rsid w:val="00811DC4"/>
    <w:rsid w:val="00814BF1"/>
    <w:rsid w:val="0081571A"/>
    <w:rsid w:val="0081649E"/>
    <w:rsid w:val="00816502"/>
    <w:rsid w:val="0081699F"/>
    <w:rsid w:val="0082046A"/>
    <w:rsid w:val="00820C73"/>
    <w:rsid w:val="00820FED"/>
    <w:rsid w:val="00825063"/>
    <w:rsid w:val="00825D17"/>
    <w:rsid w:val="00826943"/>
    <w:rsid w:val="00830A2B"/>
    <w:rsid w:val="00832301"/>
    <w:rsid w:val="00832A84"/>
    <w:rsid w:val="00836588"/>
    <w:rsid w:val="008370BE"/>
    <w:rsid w:val="00837F7E"/>
    <w:rsid w:val="00842AB3"/>
    <w:rsid w:val="00846015"/>
    <w:rsid w:val="0084777D"/>
    <w:rsid w:val="00851859"/>
    <w:rsid w:val="00851B04"/>
    <w:rsid w:val="00852ECD"/>
    <w:rsid w:val="00854170"/>
    <w:rsid w:val="00856AB6"/>
    <w:rsid w:val="00856BFF"/>
    <w:rsid w:val="0086091D"/>
    <w:rsid w:val="00860CB8"/>
    <w:rsid w:val="00862821"/>
    <w:rsid w:val="00862EB8"/>
    <w:rsid w:val="00865EF8"/>
    <w:rsid w:val="00866B25"/>
    <w:rsid w:val="008708D4"/>
    <w:rsid w:val="00870DFA"/>
    <w:rsid w:val="00872086"/>
    <w:rsid w:val="00874C92"/>
    <w:rsid w:val="0087681B"/>
    <w:rsid w:val="008770F6"/>
    <w:rsid w:val="00880991"/>
    <w:rsid w:val="008818C1"/>
    <w:rsid w:val="0088282C"/>
    <w:rsid w:val="008839A4"/>
    <w:rsid w:val="00884900"/>
    <w:rsid w:val="00887C48"/>
    <w:rsid w:val="00890FBC"/>
    <w:rsid w:val="0089151D"/>
    <w:rsid w:val="008933B9"/>
    <w:rsid w:val="00893FB4"/>
    <w:rsid w:val="00895C2B"/>
    <w:rsid w:val="00897F10"/>
    <w:rsid w:val="008A297C"/>
    <w:rsid w:val="008A4647"/>
    <w:rsid w:val="008A4C47"/>
    <w:rsid w:val="008A555B"/>
    <w:rsid w:val="008B1C60"/>
    <w:rsid w:val="008B45C5"/>
    <w:rsid w:val="008B47F6"/>
    <w:rsid w:val="008C00D5"/>
    <w:rsid w:val="008C123A"/>
    <w:rsid w:val="008C3438"/>
    <w:rsid w:val="008C42C5"/>
    <w:rsid w:val="008C44F7"/>
    <w:rsid w:val="008C4FEC"/>
    <w:rsid w:val="008D139F"/>
    <w:rsid w:val="008D5958"/>
    <w:rsid w:val="008D7F08"/>
    <w:rsid w:val="008E046E"/>
    <w:rsid w:val="008E2AB8"/>
    <w:rsid w:val="008E2FFD"/>
    <w:rsid w:val="008E303E"/>
    <w:rsid w:val="008E3C8B"/>
    <w:rsid w:val="008E497B"/>
    <w:rsid w:val="008E59AC"/>
    <w:rsid w:val="008E5CBF"/>
    <w:rsid w:val="008F2F13"/>
    <w:rsid w:val="008F3EBF"/>
    <w:rsid w:val="008F6DFA"/>
    <w:rsid w:val="00900ABB"/>
    <w:rsid w:val="00901EE1"/>
    <w:rsid w:val="00901F3D"/>
    <w:rsid w:val="009041A7"/>
    <w:rsid w:val="00904C73"/>
    <w:rsid w:val="0090666E"/>
    <w:rsid w:val="00906F8A"/>
    <w:rsid w:val="00911657"/>
    <w:rsid w:val="00913632"/>
    <w:rsid w:val="009137BF"/>
    <w:rsid w:val="00917970"/>
    <w:rsid w:val="00920851"/>
    <w:rsid w:val="0092122B"/>
    <w:rsid w:val="009212DC"/>
    <w:rsid w:val="0092183F"/>
    <w:rsid w:val="00922C6F"/>
    <w:rsid w:val="00922E5A"/>
    <w:rsid w:val="00924C2B"/>
    <w:rsid w:val="00924C51"/>
    <w:rsid w:val="0092607C"/>
    <w:rsid w:val="0092627C"/>
    <w:rsid w:val="00926307"/>
    <w:rsid w:val="00930A5A"/>
    <w:rsid w:val="00930C21"/>
    <w:rsid w:val="009320D8"/>
    <w:rsid w:val="0093256A"/>
    <w:rsid w:val="0093326E"/>
    <w:rsid w:val="009335C7"/>
    <w:rsid w:val="00934100"/>
    <w:rsid w:val="0093434D"/>
    <w:rsid w:val="0093628A"/>
    <w:rsid w:val="00936D37"/>
    <w:rsid w:val="0094082B"/>
    <w:rsid w:val="00940B6D"/>
    <w:rsid w:val="00945383"/>
    <w:rsid w:val="009474CA"/>
    <w:rsid w:val="009479F1"/>
    <w:rsid w:val="00950095"/>
    <w:rsid w:val="00950B62"/>
    <w:rsid w:val="00951044"/>
    <w:rsid w:val="009517D2"/>
    <w:rsid w:val="00952FF0"/>
    <w:rsid w:val="009530BB"/>
    <w:rsid w:val="00957122"/>
    <w:rsid w:val="009571CF"/>
    <w:rsid w:val="00962D0B"/>
    <w:rsid w:val="00963A92"/>
    <w:rsid w:val="00965600"/>
    <w:rsid w:val="0097154A"/>
    <w:rsid w:val="00971664"/>
    <w:rsid w:val="009716D9"/>
    <w:rsid w:val="00971DF3"/>
    <w:rsid w:val="00973257"/>
    <w:rsid w:val="009732A8"/>
    <w:rsid w:val="009738C6"/>
    <w:rsid w:val="00975192"/>
    <w:rsid w:val="009754B1"/>
    <w:rsid w:val="00977A8B"/>
    <w:rsid w:val="0098155B"/>
    <w:rsid w:val="0098305F"/>
    <w:rsid w:val="009831BD"/>
    <w:rsid w:val="00984A12"/>
    <w:rsid w:val="009857F5"/>
    <w:rsid w:val="00987386"/>
    <w:rsid w:val="00990AF4"/>
    <w:rsid w:val="00991539"/>
    <w:rsid w:val="0099169C"/>
    <w:rsid w:val="0099451E"/>
    <w:rsid w:val="009960F4"/>
    <w:rsid w:val="009A135F"/>
    <w:rsid w:val="009A2E65"/>
    <w:rsid w:val="009A735F"/>
    <w:rsid w:val="009B0684"/>
    <w:rsid w:val="009B1034"/>
    <w:rsid w:val="009B2566"/>
    <w:rsid w:val="009B56DB"/>
    <w:rsid w:val="009B6B4B"/>
    <w:rsid w:val="009C090B"/>
    <w:rsid w:val="009C0A48"/>
    <w:rsid w:val="009C0E30"/>
    <w:rsid w:val="009C2807"/>
    <w:rsid w:val="009C2F5A"/>
    <w:rsid w:val="009C31AB"/>
    <w:rsid w:val="009C38D1"/>
    <w:rsid w:val="009C4CE7"/>
    <w:rsid w:val="009C4FB0"/>
    <w:rsid w:val="009C76A6"/>
    <w:rsid w:val="009D0D6F"/>
    <w:rsid w:val="009D1605"/>
    <w:rsid w:val="009D1636"/>
    <w:rsid w:val="009D180E"/>
    <w:rsid w:val="009D52FD"/>
    <w:rsid w:val="009D56AB"/>
    <w:rsid w:val="009D5F61"/>
    <w:rsid w:val="009E245A"/>
    <w:rsid w:val="009E2B07"/>
    <w:rsid w:val="009E3403"/>
    <w:rsid w:val="009E4480"/>
    <w:rsid w:val="009E571B"/>
    <w:rsid w:val="009E757B"/>
    <w:rsid w:val="009E7C8B"/>
    <w:rsid w:val="009F0D67"/>
    <w:rsid w:val="009F1BE1"/>
    <w:rsid w:val="009F6D02"/>
    <w:rsid w:val="00A039EA"/>
    <w:rsid w:val="00A03F72"/>
    <w:rsid w:val="00A0489F"/>
    <w:rsid w:val="00A115E6"/>
    <w:rsid w:val="00A11C6A"/>
    <w:rsid w:val="00A123AA"/>
    <w:rsid w:val="00A13D34"/>
    <w:rsid w:val="00A1789E"/>
    <w:rsid w:val="00A20861"/>
    <w:rsid w:val="00A21C7C"/>
    <w:rsid w:val="00A268DA"/>
    <w:rsid w:val="00A273EE"/>
    <w:rsid w:val="00A27705"/>
    <w:rsid w:val="00A305AE"/>
    <w:rsid w:val="00A32846"/>
    <w:rsid w:val="00A32D5D"/>
    <w:rsid w:val="00A32EAE"/>
    <w:rsid w:val="00A453F4"/>
    <w:rsid w:val="00A47736"/>
    <w:rsid w:val="00A47B5D"/>
    <w:rsid w:val="00A52DA4"/>
    <w:rsid w:val="00A52EB3"/>
    <w:rsid w:val="00A5313A"/>
    <w:rsid w:val="00A5411A"/>
    <w:rsid w:val="00A55391"/>
    <w:rsid w:val="00A62947"/>
    <w:rsid w:val="00A6394E"/>
    <w:rsid w:val="00A6461E"/>
    <w:rsid w:val="00A648FB"/>
    <w:rsid w:val="00A65021"/>
    <w:rsid w:val="00A66DA9"/>
    <w:rsid w:val="00A66F81"/>
    <w:rsid w:val="00A6709D"/>
    <w:rsid w:val="00A70715"/>
    <w:rsid w:val="00A70AD5"/>
    <w:rsid w:val="00A70BCC"/>
    <w:rsid w:val="00A71F9D"/>
    <w:rsid w:val="00A72F28"/>
    <w:rsid w:val="00A733FF"/>
    <w:rsid w:val="00A754B0"/>
    <w:rsid w:val="00A7760C"/>
    <w:rsid w:val="00A83986"/>
    <w:rsid w:val="00A848EC"/>
    <w:rsid w:val="00A84FB6"/>
    <w:rsid w:val="00A857CA"/>
    <w:rsid w:val="00A86FE2"/>
    <w:rsid w:val="00A879A2"/>
    <w:rsid w:val="00A921EC"/>
    <w:rsid w:val="00A923B6"/>
    <w:rsid w:val="00A92483"/>
    <w:rsid w:val="00A93163"/>
    <w:rsid w:val="00A9580A"/>
    <w:rsid w:val="00A958AA"/>
    <w:rsid w:val="00A96357"/>
    <w:rsid w:val="00A96FD1"/>
    <w:rsid w:val="00A9723A"/>
    <w:rsid w:val="00A97320"/>
    <w:rsid w:val="00AA76CD"/>
    <w:rsid w:val="00AB31DE"/>
    <w:rsid w:val="00AB328F"/>
    <w:rsid w:val="00AC0168"/>
    <w:rsid w:val="00AC079D"/>
    <w:rsid w:val="00AC168A"/>
    <w:rsid w:val="00AC30D0"/>
    <w:rsid w:val="00AC6C61"/>
    <w:rsid w:val="00AD19DF"/>
    <w:rsid w:val="00AD225C"/>
    <w:rsid w:val="00AD2B32"/>
    <w:rsid w:val="00AD3726"/>
    <w:rsid w:val="00AD45A6"/>
    <w:rsid w:val="00AD54A4"/>
    <w:rsid w:val="00AD6211"/>
    <w:rsid w:val="00AD6DC9"/>
    <w:rsid w:val="00AD6EC1"/>
    <w:rsid w:val="00AE03A2"/>
    <w:rsid w:val="00AE39CE"/>
    <w:rsid w:val="00AE3C3B"/>
    <w:rsid w:val="00AE591C"/>
    <w:rsid w:val="00AE701E"/>
    <w:rsid w:val="00AF0153"/>
    <w:rsid w:val="00AF1068"/>
    <w:rsid w:val="00AF1278"/>
    <w:rsid w:val="00AF193A"/>
    <w:rsid w:val="00AF1D45"/>
    <w:rsid w:val="00AF2D51"/>
    <w:rsid w:val="00AF34A0"/>
    <w:rsid w:val="00AF3F90"/>
    <w:rsid w:val="00AF4168"/>
    <w:rsid w:val="00AF6800"/>
    <w:rsid w:val="00B0143F"/>
    <w:rsid w:val="00B024D0"/>
    <w:rsid w:val="00B0517D"/>
    <w:rsid w:val="00B05473"/>
    <w:rsid w:val="00B060CD"/>
    <w:rsid w:val="00B107FB"/>
    <w:rsid w:val="00B10EAB"/>
    <w:rsid w:val="00B112A1"/>
    <w:rsid w:val="00B116BE"/>
    <w:rsid w:val="00B11F97"/>
    <w:rsid w:val="00B143BB"/>
    <w:rsid w:val="00B17557"/>
    <w:rsid w:val="00B230B3"/>
    <w:rsid w:val="00B24C18"/>
    <w:rsid w:val="00B250D2"/>
    <w:rsid w:val="00B256AF"/>
    <w:rsid w:val="00B26A15"/>
    <w:rsid w:val="00B33ACC"/>
    <w:rsid w:val="00B33B1E"/>
    <w:rsid w:val="00B33D58"/>
    <w:rsid w:val="00B33F1A"/>
    <w:rsid w:val="00B351FF"/>
    <w:rsid w:val="00B35656"/>
    <w:rsid w:val="00B361A7"/>
    <w:rsid w:val="00B378B5"/>
    <w:rsid w:val="00B418BC"/>
    <w:rsid w:val="00B42014"/>
    <w:rsid w:val="00B42810"/>
    <w:rsid w:val="00B43755"/>
    <w:rsid w:val="00B438FA"/>
    <w:rsid w:val="00B44D84"/>
    <w:rsid w:val="00B45195"/>
    <w:rsid w:val="00B4677F"/>
    <w:rsid w:val="00B47AA5"/>
    <w:rsid w:val="00B50E84"/>
    <w:rsid w:val="00B530D7"/>
    <w:rsid w:val="00B539CE"/>
    <w:rsid w:val="00B554F2"/>
    <w:rsid w:val="00B555F3"/>
    <w:rsid w:val="00B5610D"/>
    <w:rsid w:val="00B574BF"/>
    <w:rsid w:val="00B6134D"/>
    <w:rsid w:val="00B659C9"/>
    <w:rsid w:val="00B6623E"/>
    <w:rsid w:val="00B6687D"/>
    <w:rsid w:val="00B66DDB"/>
    <w:rsid w:val="00B67541"/>
    <w:rsid w:val="00B70E0B"/>
    <w:rsid w:val="00B71611"/>
    <w:rsid w:val="00B74B7C"/>
    <w:rsid w:val="00B75BF9"/>
    <w:rsid w:val="00B75D8A"/>
    <w:rsid w:val="00B767D4"/>
    <w:rsid w:val="00B8137B"/>
    <w:rsid w:val="00B840F6"/>
    <w:rsid w:val="00B84496"/>
    <w:rsid w:val="00B84ABA"/>
    <w:rsid w:val="00B8552B"/>
    <w:rsid w:val="00B904F3"/>
    <w:rsid w:val="00B91975"/>
    <w:rsid w:val="00B9290B"/>
    <w:rsid w:val="00B92E32"/>
    <w:rsid w:val="00B9668E"/>
    <w:rsid w:val="00B9787C"/>
    <w:rsid w:val="00B97C1B"/>
    <w:rsid w:val="00B97F5C"/>
    <w:rsid w:val="00BA0A67"/>
    <w:rsid w:val="00BA12BD"/>
    <w:rsid w:val="00BA4367"/>
    <w:rsid w:val="00BA68CE"/>
    <w:rsid w:val="00BB023B"/>
    <w:rsid w:val="00BB20C1"/>
    <w:rsid w:val="00BB4A8D"/>
    <w:rsid w:val="00BB6D79"/>
    <w:rsid w:val="00BC107D"/>
    <w:rsid w:val="00BC2597"/>
    <w:rsid w:val="00BC2A6B"/>
    <w:rsid w:val="00BC2FA9"/>
    <w:rsid w:val="00BC3BE1"/>
    <w:rsid w:val="00BC4111"/>
    <w:rsid w:val="00BC50E6"/>
    <w:rsid w:val="00BC658E"/>
    <w:rsid w:val="00BD1170"/>
    <w:rsid w:val="00BD1873"/>
    <w:rsid w:val="00BD3536"/>
    <w:rsid w:val="00BD4394"/>
    <w:rsid w:val="00BD4686"/>
    <w:rsid w:val="00BD474C"/>
    <w:rsid w:val="00BD5DB4"/>
    <w:rsid w:val="00BD60AD"/>
    <w:rsid w:val="00BD62B2"/>
    <w:rsid w:val="00BD71FE"/>
    <w:rsid w:val="00BE0567"/>
    <w:rsid w:val="00BE28A3"/>
    <w:rsid w:val="00BE496C"/>
    <w:rsid w:val="00BE5C01"/>
    <w:rsid w:val="00BE653F"/>
    <w:rsid w:val="00BE7AF1"/>
    <w:rsid w:val="00BF080C"/>
    <w:rsid w:val="00BF1EEC"/>
    <w:rsid w:val="00BF4E67"/>
    <w:rsid w:val="00BF7148"/>
    <w:rsid w:val="00C006BC"/>
    <w:rsid w:val="00C0120B"/>
    <w:rsid w:val="00C01813"/>
    <w:rsid w:val="00C01F79"/>
    <w:rsid w:val="00C022E3"/>
    <w:rsid w:val="00C02600"/>
    <w:rsid w:val="00C02E5F"/>
    <w:rsid w:val="00C043A4"/>
    <w:rsid w:val="00C04605"/>
    <w:rsid w:val="00C0468B"/>
    <w:rsid w:val="00C04921"/>
    <w:rsid w:val="00C04A93"/>
    <w:rsid w:val="00C04BBC"/>
    <w:rsid w:val="00C0512F"/>
    <w:rsid w:val="00C05314"/>
    <w:rsid w:val="00C06F42"/>
    <w:rsid w:val="00C0720D"/>
    <w:rsid w:val="00C10172"/>
    <w:rsid w:val="00C10346"/>
    <w:rsid w:val="00C10E3F"/>
    <w:rsid w:val="00C12814"/>
    <w:rsid w:val="00C132FB"/>
    <w:rsid w:val="00C1542A"/>
    <w:rsid w:val="00C15E7D"/>
    <w:rsid w:val="00C16D74"/>
    <w:rsid w:val="00C16E6A"/>
    <w:rsid w:val="00C20475"/>
    <w:rsid w:val="00C210BC"/>
    <w:rsid w:val="00C2173B"/>
    <w:rsid w:val="00C23518"/>
    <w:rsid w:val="00C26199"/>
    <w:rsid w:val="00C27444"/>
    <w:rsid w:val="00C31534"/>
    <w:rsid w:val="00C31DDE"/>
    <w:rsid w:val="00C32131"/>
    <w:rsid w:val="00C34062"/>
    <w:rsid w:val="00C35E07"/>
    <w:rsid w:val="00C42CAB"/>
    <w:rsid w:val="00C431D2"/>
    <w:rsid w:val="00C44027"/>
    <w:rsid w:val="00C46773"/>
    <w:rsid w:val="00C469C1"/>
    <w:rsid w:val="00C476A4"/>
    <w:rsid w:val="00C47A8B"/>
    <w:rsid w:val="00C50865"/>
    <w:rsid w:val="00C52368"/>
    <w:rsid w:val="00C5339D"/>
    <w:rsid w:val="00C558F5"/>
    <w:rsid w:val="00C55C3E"/>
    <w:rsid w:val="00C56175"/>
    <w:rsid w:val="00C56661"/>
    <w:rsid w:val="00C56DD1"/>
    <w:rsid w:val="00C57902"/>
    <w:rsid w:val="00C604CF"/>
    <w:rsid w:val="00C605E0"/>
    <w:rsid w:val="00C6496D"/>
    <w:rsid w:val="00C719F9"/>
    <w:rsid w:val="00C72F19"/>
    <w:rsid w:val="00C73416"/>
    <w:rsid w:val="00C734FF"/>
    <w:rsid w:val="00C73E1A"/>
    <w:rsid w:val="00C75EA5"/>
    <w:rsid w:val="00C77CBB"/>
    <w:rsid w:val="00C80825"/>
    <w:rsid w:val="00C82274"/>
    <w:rsid w:val="00C82BA0"/>
    <w:rsid w:val="00C82C40"/>
    <w:rsid w:val="00C83B70"/>
    <w:rsid w:val="00C87392"/>
    <w:rsid w:val="00C903F7"/>
    <w:rsid w:val="00C91364"/>
    <w:rsid w:val="00C94B05"/>
    <w:rsid w:val="00C950AE"/>
    <w:rsid w:val="00C967C9"/>
    <w:rsid w:val="00C97182"/>
    <w:rsid w:val="00CA1E4A"/>
    <w:rsid w:val="00CA2309"/>
    <w:rsid w:val="00CA79F1"/>
    <w:rsid w:val="00CB17D0"/>
    <w:rsid w:val="00CB274E"/>
    <w:rsid w:val="00CB39CF"/>
    <w:rsid w:val="00CB576D"/>
    <w:rsid w:val="00CB74D4"/>
    <w:rsid w:val="00CC0609"/>
    <w:rsid w:val="00CC09FC"/>
    <w:rsid w:val="00CC29CC"/>
    <w:rsid w:val="00CC2B1D"/>
    <w:rsid w:val="00CC530B"/>
    <w:rsid w:val="00CC5ED3"/>
    <w:rsid w:val="00CC68AC"/>
    <w:rsid w:val="00CC7EF0"/>
    <w:rsid w:val="00CD06FF"/>
    <w:rsid w:val="00CD0DD2"/>
    <w:rsid w:val="00CD15BE"/>
    <w:rsid w:val="00CD3209"/>
    <w:rsid w:val="00CD4C65"/>
    <w:rsid w:val="00CD5C67"/>
    <w:rsid w:val="00CD6C7A"/>
    <w:rsid w:val="00CE15E8"/>
    <w:rsid w:val="00CE2B4F"/>
    <w:rsid w:val="00CE4658"/>
    <w:rsid w:val="00CF0313"/>
    <w:rsid w:val="00CF3696"/>
    <w:rsid w:val="00CF5D17"/>
    <w:rsid w:val="00CF5DD2"/>
    <w:rsid w:val="00D00DEC"/>
    <w:rsid w:val="00D01404"/>
    <w:rsid w:val="00D03838"/>
    <w:rsid w:val="00D0512A"/>
    <w:rsid w:val="00D05B3A"/>
    <w:rsid w:val="00D062B1"/>
    <w:rsid w:val="00D06C4D"/>
    <w:rsid w:val="00D10AF4"/>
    <w:rsid w:val="00D11598"/>
    <w:rsid w:val="00D1216D"/>
    <w:rsid w:val="00D1250A"/>
    <w:rsid w:val="00D12CC9"/>
    <w:rsid w:val="00D14511"/>
    <w:rsid w:val="00D1517D"/>
    <w:rsid w:val="00D17A38"/>
    <w:rsid w:val="00D17D3A"/>
    <w:rsid w:val="00D20763"/>
    <w:rsid w:val="00D21002"/>
    <w:rsid w:val="00D22044"/>
    <w:rsid w:val="00D2271F"/>
    <w:rsid w:val="00D22842"/>
    <w:rsid w:val="00D24305"/>
    <w:rsid w:val="00D244B6"/>
    <w:rsid w:val="00D244DF"/>
    <w:rsid w:val="00D24906"/>
    <w:rsid w:val="00D255E2"/>
    <w:rsid w:val="00D27843"/>
    <w:rsid w:val="00D31F0C"/>
    <w:rsid w:val="00D32F9E"/>
    <w:rsid w:val="00D36403"/>
    <w:rsid w:val="00D37DF8"/>
    <w:rsid w:val="00D413AB"/>
    <w:rsid w:val="00D469D9"/>
    <w:rsid w:val="00D46B5C"/>
    <w:rsid w:val="00D47798"/>
    <w:rsid w:val="00D535A6"/>
    <w:rsid w:val="00D53F4B"/>
    <w:rsid w:val="00D53F90"/>
    <w:rsid w:val="00D55009"/>
    <w:rsid w:val="00D55245"/>
    <w:rsid w:val="00D55FAC"/>
    <w:rsid w:val="00D61703"/>
    <w:rsid w:val="00D62A3F"/>
    <w:rsid w:val="00D632AC"/>
    <w:rsid w:val="00D63516"/>
    <w:rsid w:val="00D6445A"/>
    <w:rsid w:val="00D65826"/>
    <w:rsid w:val="00D662A5"/>
    <w:rsid w:val="00D67559"/>
    <w:rsid w:val="00D73184"/>
    <w:rsid w:val="00D744CA"/>
    <w:rsid w:val="00D74C06"/>
    <w:rsid w:val="00D75BC4"/>
    <w:rsid w:val="00D761C6"/>
    <w:rsid w:val="00D8015C"/>
    <w:rsid w:val="00D81763"/>
    <w:rsid w:val="00D8290E"/>
    <w:rsid w:val="00D84C03"/>
    <w:rsid w:val="00D90AFA"/>
    <w:rsid w:val="00D91DEA"/>
    <w:rsid w:val="00D950BA"/>
    <w:rsid w:val="00D96254"/>
    <w:rsid w:val="00D97350"/>
    <w:rsid w:val="00DA1112"/>
    <w:rsid w:val="00DA17EA"/>
    <w:rsid w:val="00DA1D4F"/>
    <w:rsid w:val="00DA36CF"/>
    <w:rsid w:val="00DA3BEA"/>
    <w:rsid w:val="00DA4417"/>
    <w:rsid w:val="00DA60F2"/>
    <w:rsid w:val="00DA6353"/>
    <w:rsid w:val="00DB0F2F"/>
    <w:rsid w:val="00DB197E"/>
    <w:rsid w:val="00DB2C96"/>
    <w:rsid w:val="00DB3B5A"/>
    <w:rsid w:val="00DB64E9"/>
    <w:rsid w:val="00DC037F"/>
    <w:rsid w:val="00DC1999"/>
    <w:rsid w:val="00DC1D1C"/>
    <w:rsid w:val="00DC2510"/>
    <w:rsid w:val="00DC4196"/>
    <w:rsid w:val="00DC4D28"/>
    <w:rsid w:val="00DC7D82"/>
    <w:rsid w:val="00DD013F"/>
    <w:rsid w:val="00DD0FAF"/>
    <w:rsid w:val="00DD106E"/>
    <w:rsid w:val="00DD3159"/>
    <w:rsid w:val="00DD3D12"/>
    <w:rsid w:val="00DD551D"/>
    <w:rsid w:val="00DD5D4C"/>
    <w:rsid w:val="00DE1160"/>
    <w:rsid w:val="00DE1831"/>
    <w:rsid w:val="00DE4D2A"/>
    <w:rsid w:val="00DE4F1C"/>
    <w:rsid w:val="00DE7436"/>
    <w:rsid w:val="00DF4158"/>
    <w:rsid w:val="00DF4D54"/>
    <w:rsid w:val="00DF7B08"/>
    <w:rsid w:val="00E0111E"/>
    <w:rsid w:val="00E012BA"/>
    <w:rsid w:val="00E026F7"/>
    <w:rsid w:val="00E03C2D"/>
    <w:rsid w:val="00E06025"/>
    <w:rsid w:val="00E0678D"/>
    <w:rsid w:val="00E0683E"/>
    <w:rsid w:val="00E06C86"/>
    <w:rsid w:val="00E10BA6"/>
    <w:rsid w:val="00E10FA2"/>
    <w:rsid w:val="00E11206"/>
    <w:rsid w:val="00E12592"/>
    <w:rsid w:val="00E127CF"/>
    <w:rsid w:val="00E12998"/>
    <w:rsid w:val="00E130B2"/>
    <w:rsid w:val="00E14232"/>
    <w:rsid w:val="00E1447D"/>
    <w:rsid w:val="00E16392"/>
    <w:rsid w:val="00E16978"/>
    <w:rsid w:val="00E1762A"/>
    <w:rsid w:val="00E177E8"/>
    <w:rsid w:val="00E17833"/>
    <w:rsid w:val="00E23917"/>
    <w:rsid w:val="00E250AC"/>
    <w:rsid w:val="00E25734"/>
    <w:rsid w:val="00E259C4"/>
    <w:rsid w:val="00E25FC0"/>
    <w:rsid w:val="00E2655E"/>
    <w:rsid w:val="00E27082"/>
    <w:rsid w:val="00E31856"/>
    <w:rsid w:val="00E31C0F"/>
    <w:rsid w:val="00E33664"/>
    <w:rsid w:val="00E36460"/>
    <w:rsid w:val="00E3692A"/>
    <w:rsid w:val="00E41212"/>
    <w:rsid w:val="00E423A4"/>
    <w:rsid w:val="00E435E3"/>
    <w:rsid w:val="00E46308"/>
    <w:rsid w:val="00E46580"/>
    <w:rsid w:val="00E473EF"/>
    <w:rsid w:val="00E51586"/>
    <w:rsid w:val="00E52CA6"/>
    <w:rsid w:val="00E54691"/>
    <w:rsid w:val="00E54D46"/>
    <w:rsid w:val="00E55B9A"/>
    <w:rsid w:val="00E60CC8"/>
    <w:rsid w:val="00E610F9"/>
    <w:rsid w:val="00E61808"/>
    <w:rsid w:val="00E62042"/>
    <w:rsid w:val="00E62139"/>
    <w:rsid w:val="00E647A4"/>
    <w:rsid w:val="00E6523B"/>
    <w:rsid w:val="00E65462"/>
    <w:rsid w:val="00E65750"/>
    <w:rsid w:val="00E6605E"/>
    <w:rsid w:val="00E67685"/>
    <w:rsid w:val="00E70246"/>
    <w:rsid w:val="00E70331"/>
    <w:rsid w:val="00E72B71"/>
    <w:rsid w:val="00E738A4"/>
    <w:rsid w:val="00E74847"/>
    <w:rsid w:val="00E74FF8"/>
    <w:rsid w:val="00E81F08"/>
    <w:rsid w:val="00E84126"/>
    <w:rsid w:val="00E854E8"/>
    <w:rsid w:val="00E869C5"/>
    <w:rsid w:val="00E87ADF"/>
    <w:rsid w:val="00E90D65"/>
    <w:rsid w:val="00E91EBC"/>
    <w:rsid w:val="00E936C3"/>
    <w:rsid w:val="00E93B92"/>
    <w:rsid w:val="00E953C8"/>
    <w:rsid w:val="00E9725B"/>
    <w:rsid w:val="00E9785F"/>
    <w:rsid w:val="00E97F19"/>
    <w:rsid w:val="00EA6B5F"/>
    <w:rsid w:val="00EB19F6"/>
    <w:rsid w:val="00EB2206"/>
    <w:rsid w:val="00EB59B1"/>
    <w:rsid w:val="00EC05B7"/>
    <w:rsid w:val="00EC0EDF"/>
    <w:rsid w:val="00EC52C9"/>
    <w:rsid w:val="00EC653E"/>
    <w:rsid w:val="00ED0465"/>
    <w:rsid w:val="00ED26A5"/>
    <w:rsid w:val="00ED2E19"/>
    <w:rsid w:val="00ED3100"/>
    <w:rsid w:val="00ED4979"/>
    <w:rsid w:val="00ED6100"/>
    <w:rsid w:val="00ED7FF9"/>
    <w:rsid w:val="00EE06AA"/>
    <w:rsid w:val="00EE0F6D"/>
    <w:rsid w:val="00EE16F6"/>
    <w:rsid w:val="00EE1B6F"/>
    <w:rsid w:val="00EE1E2C"/>
    <w:rsid w:val="00EE40CA"/>
    <w:rsid w:val="00EE4A30"/>
    <w:rsid w:val="00EE50F3"/>
    <w:rsid w:val="00EE523C"/>
    <w:rsid w:val="00EE7E64"/>
    <w:rsid w:val="00EF0E56"/>
    <w:rsid w:val="00EF192F"/>
    <w:rsid w:val="00EF27BD"/>
    <w:rsid w:val="00EF28F6"/>
    <w:rsid w:val="00EF33D5"/>
    <w:rsid w:val="00EF34C0"/>
    <w:rsid w:val="00EF5B69"/>
    <w:rsid w:val="00EF7A7A"/>
    <w:rsid w:val="00F00907"/>
    <w:rsid w:val="00F01815"/>
    <w:rsid w:val="00F0312A"/>
    <w:rsid w:val="00F03C16"/>
    <w:rsid w:val="00F041E4"/>
    <w:rsid w:val="00F04B02"/>
    <w:rsid w:val="00F054FC"/>
    <w:rsid w:val="00F0665E"/>
    <w:rsid w:val="00F06BCC"/>
    <w:rsid w:val="00F10203"/>
    <w:rsid w:val="00F1023D"/>
    <w:rsid w:val="00F102F7"/>
    <w:rsid w:val="00F10E24"/>
    <w:rsid w:val="00F11271"/>
    <w:rsid w:val="00F11DAF"/>
    <w:rsid w:val="00F121FF"/>
    <w:rsid w:val="00F135FE"/>
    <w:rsid w:val="00F1362D"/>
    <w:rsid w:val="00F1400E"/>
    <w:rsid w:val="00F154BB"/>
    <w:rsid w:val="00F23085"/>
    <w:rsid w:val="00F23421"/>
    <w:rsid w:val="00F246D0"/>
    <w:rsid w:val="00F32C04"/>
    <w:rsid w:val="00F34453"/>
    <w:rsid w:val="00F3483F"/>
    <w:rsid w:val="00F351DD"/>
    <w:rsid w:val="00F35759"/>
    <w:rsid w:val="00F3583E"/>
    <w:rsid w:val="00F36F1F"/>
    <w:rsid w:val="00F402E7"/>
    <w:rsid w:val="00F41077"/>
    <w:rsid w:val="00F4131E"/>
    <w:rsid w:val="00F42A5B"/>
    <w:rsid w:val="00F47784"/>
    <w:rsid w:val="00F51ABC"/>
    <w:rsid w:val="00F531F2"/>
    <w:rsid w:val="00F53C55"/>
    <w:rsid w:val="00F5463C"/>
    <w:rsid w:val="00F547C1"/>
    <w:rsid w:val="00F56950"/>
    <w:rsid w:val="00F56F64"/>
    <w:rsid w:val="00F60529"/>
    <w:rsid w:val="00F62583"/>
    <w:rsid w:val="00F63F40"/>
    <w:rsid w:val="00F645F6"/>
    <w:rsid w:val="00F6731F"/>
    <w:rsid w:val="00F67796"/>
    <w:rsid w:val="00F67BE9"/>
    <w:rsid w:val="00F67E78"/>
    <w:rsid w:val="00F707A3"/>
    <w:rsid w:val="00F70F7F"/>
    <w:rsid w:val="00F71B6A"/>
    <w:rsid w:val="00F741B6"/>
    <w:rsid w:val="00F74B90"/>
    <w:rsid w:val="00F76295"/>
    <w:rsid w:val="00F76659"/>
    <w:rsid w:val="00F769A0"/>
    <w:rsid w:val="00F8112C"/>
    <w:rsid w:val="00F906B3"/>
    <w:rsid w:val="00F930A3"/>
    <w:rsid w:val="00F97839"/>
    <w:rsid w:val="00FA0868"/>
    <w:rsid w:val="00FA0A44"/>
    <w:rsid w:val="00FB091E"/>
    <w:rsid w:val="00FB15C7"/>
    <w:rsid w:val="00FB1EC6"/>
    <w:rsid w:val="00FB2587"/>
    <w:rsid w:val="00FB59FD"/>
    <w:rsid w:val="00FB5E2C"/>
    <w:rsid w:val="00FC0206"/>
    <w:rsid w:val="00FC144D"/>
    <w:rsid w:val="00FC28C3"/>
    <w:rsid w:val="00FC3B8E"/>
    <w:rsid w:val="00FC554D"/>
    <w:rsid w:val="00FC706F"/>
    <w:rsid w:val="00FD0EA0"/>
    <w:rsid w:val="00FD1763"/>
    <w:rsid w:val="00FD26BD"/>
    <w:rsid w:val="00FD2789"/>
    <w:rsid w:val="00FD28FA"/>
    <w:rsid w:val="00FD4C2F"/>
    <w:rsid w:val="00FD587E"/>
    <w:rsid w:val="00FD6256"/>
    <w:rsid w:val="00FD73B3"/>
    <w:rsid w:val="00FD773F"/>
    <w:rsid w:val="00FE1230"/>
    <w:rsid w:val="00FE1A5E"/>
    <w:rsid w:val="00FE2237"/>
    <w:rsid w:val="00FE59A0"/>
    <w:rsid w:val="00FE6C96"/>
    <w:rsid w:val="00FE728F"/>
    <w:rsid w:val="00FF0D33"/>
    <w:rsid w:val="00FF1B53"/>
    <w:rsid w:val="00FF5770"/>
    <w:rsid w:val="00FF5B62"/>
    <w:rsid w:val="00FF617B"/>
    <w:rsid w:val="00FF7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68F"/>
    <w:rPr>
      <w:rFonts w:ascii="Arial" w:hAnsi="Arial"/>
      <w:sz w:val="24"/>
    </w:rPr>
  </w:style>
  <w:style w:type="paragraph" w:styleId="Titre1">
    <w:name w:val="heading 1"/>
    <w:basedOn w:val="Normal"/>
    <w:next w:val="Normal"/>
    <w:link w:val="Titre1Car"/>
    <w:uiPriority w:val="99"/>
    <w:qFormat/>
    <w:rsid w:val="004A068F"/>
    <w:pPr>
      <w:keepNext/>
      <w:outlineLvl w:val="0"/>
    </w:pPr>
    <w:rPr>
      <w:b/>
      <w:caps/>
      <w:kern w:val="28"/>
      <w:sz w:val="22"/>
      <w:lang w:val="en-US"/>
    </w:rPr>
  </w:style>
  <w:style w:type="paragraph" w:styleId="Titre2">
    <w:name w:val="heading 2"/>
    <w:basedOn w:val="Normal"/>
    <w:next w:val="Normal"/>
    <w:link w:val="Titre2Car"/>
    <w:uiPriority w:val="99"/>
    <w:qFormat/>
    <w:rsid w:val="004A068F"/>
    <w:pPr>
      <w:keepNext/>
      <w:spacing w:before="240" w:after="60"/>
      <w:outlineLvl w:val="1"/>
    </w:pPr>
    <w:rPr>
      <w:rFonts w:cs="Arial"/>
      <w:b/>
      <w:bCs/>
      <w:i/>
      <w:iCs/>
      <w:sz w:val="28"/>
      <w:szCs w:val="28"/>
    </w:rPr>
  </w:style>
  <w:style w:type="paragraph" w:styleId="Titre5">
    <w:name w:val="heading 5"/>
    <w:basedOn w:val="Normal"/>
    <w:next w:val="Normal"/>
    <w:link w:val="Titre5Car"/>
    <w:uiPriority w:val="99"/>
    <w:qFormat/>
    <w:rsid w:val="004A068F"/>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4A068F"/>
    <w:rPr>
      <w:rFonts w:ascii="Arial" w:hAnsi="Arial" w:cs="Times New Roman"/>
      <w:b/>
      <w:caps/>
      <w:kern w:val="28"/>
      <w:sz w:val="22"/>
      <w:lang w:eastAsia="en-GB"/>
    </w:rPr>
  </w:style>
  <w:style w:type="character" w:customStyle="1" w:styleId="Titre2Car">
    <w:name w:val="Titre 2 Car"/>
    <w:basedOn w:val="Policepardfaut"/>
    <w:link w:val="Titre2"/>
    <w:uiPriority w:val="99"/>
    <w:locked/>
    <w:rsid w:val="004A068F"/>
    <w:rPr>
      <w:rFonts w:ascii="Arial" w:hAnsi="Arial" w:cs="Arial"/>
      <w:b/>
      <w:bCs/>
      <w:i/>
      <w:iCs/>
      <w:sz w:val="28"/>
      <w:szCs w:val="28"/>
      <w:lang w:val="en-GB" w:eastAsia="en-GB"/>
    </w:rPr>
  </w:style>
  <w:style w:type="character" w:customStyle="1" w:styleId="Titre5Car">
    <w:name w:val="Titre 5 Car"/>
    <w:basedOn w:val="Policepardfaut"/>
    <w:link w:val="Titre5"/>
    <w:uiPriority w:val="99"/>
    <w:locked/>
    <w:rsid w:val="004A068F"/>
    <w:rPr>
      <w:rFonts w:ascii="Arial" w:hAnsi="Arial" w:cs="Times New Roman"/>
      <w:b/>
      <w:bCs/>
      <w:i/>
      <w:iCs/>
      <w:sz w:val="26"/>
      <w:szCs w:val="26"/>
      <w:lang w:val="en-GB" w:eastAsia="en-GB"/>
    </w:rPr>
  </w:style>
  <w:style w:type="paragraph" w:styleId="Textedebulles">
    <w:name w:val="Balloon Text"/>
    <w:basedOn w:val="Normal"/>
    <w:link w:val="TextedebullesCar"/>
    <w:uiPriority w:val="99"/>
    <w:semiHidden/>
    <w:rsid w:val="00E55B9A"/>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55B9A"/>
    <w:rPr>
      <w:rFonts w:ascii="Tahoma" w:hAnsi="Tahoma" w:cs="Tahoma"/>
      <w:sz w:val="16"/>
      <w:szCs w:val="16"/>
      <w:lang w:val="en-GB" w:eastAsia="en-GB"/>
    </w:rPr>
  </w:style>
  <w:style w:type="paragraph" w:styleId="En-tte">
    <w:name w:val="header"/>
    <w:basedOn w:val="Normal"/>
    <w:link w:val="En-tteCar"/>
    <w:uiPriority w:val="99"/>
    <w:semiHidden/>
    <w:rsid w:val="00213F98"/>
    <w:pPr>
      <w:tabs>
        <w:tab w:val="center" w:pos="4536"/>
        <w:tab w:val="right" w:pos="9072"/>
      </w:tabs>
    </w:pPr>
  </w:style>
  <w:style w:type="character" w:customStyle="1" w:styleId="En-tteCar">
    <w:name w:val="En-tête Car"/>
    <w:basedOn w:val="Policepardfaut"/>
    <w:link w:val="En-tte"/>
    <w:uiPriority w:val="99"/>
    <w:semiHidden/>
    <w:locked/>
    <w:rsid w:val="00213F98"/>
    <w:rPr>
      <w:rFonts w:ascii="Times New Roman" w:hAnsi="Times New Roman" w:cs="Times New Roman"/>
      <w:sz w:val="24"/>
      <w:lang w:val="en-GB"/>
    </w:rPr>
  </w:style>
  <w:style w:type="paragraph" w:styleId="Pieddepage">
    <w:name w:val="footer"/>
    <w:basedOn w:val="Normal"/>
    <w:link w:val="PieddepageCar"/>
    <w:uiPriority w:val="99"/>
    <w:semiHidden/>
    <w:rsid w:val="00213F98"/>
    <w:pPr>
      <w:tabs>
        <w:tab w:val="center" w:pos="4536"/>
        <w:tab w:val="right" w:pos="9072"/>
      </w:tabs>
    </w:pPr>
  </w:style>
  <w:style w:type="character" w:customStyle="1" w:styleId="PieddepageCar">
    <w:name w:val="Pied de page Car"/>
    <w:basedOn w:val="Policepardfaut"/>
    <w:link w:val="Pieddepage"/>
    <w:uiPriority w:val="99"/>
    <w:semiHidden/>
    <w:locked/>
    <w:rsid w:val="00213F98"/>
    <w:rPr>
      <w:rFonts w:ascii="Times New Roman" w:hAnsi="Times New Roman" w:cs="Times New Roman"/>
      <w:sz w:val="24"/>
      <w:lang w:val="en-GB"/>
    </w:rPr>
  </w:style>
  <w:style w:type="table" w:styleId="Grilledutableau">
    <w:name w:val="Table Grid"/>
    <w:basedOn w:val="TableauNormal"/>
    <w:uiPriority w:val="99"/>
    <w:rsid w:val="00567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couleur-Accent2">
    <w:name w:val="Colorful Grid Accent 2"/>
    <w:basedOn w:val="TableauNormal"/>
    <w:uiPriority w:val="99"/>
    <w:rsid w:val="0056748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character" w:styleId="Marquedecommentaire">
    <w:name w:val="annotation reference"/>
    <w:basedOn w:val="Policepardfaut"/>
    <w:uiPriority w:val="99"/>
    <w:semiHidden/>
    <w:rsid w:val="00940B6D"/>
    <w:rPr>
      <w:rFonts w:cs="Times New Roman"/>
      <w:sz w:val="16"/>
      <w:szCs w:val="16"/>
    </w:rPr>
  </w:style>
  <w:style w:type="paragraph" w:styleId="Commentaire">
    <w:name w:val="annotation text"/>
    <w:basedOn w:val="Normal"/>
    <w:link w:val="CommentaireCar"/>
    <w:uiPriority w:val="99"/>
    <w:semiHidden/>
    <w:rsid w:val="00940B6D"/>
    <w:rPr>
      <w:sz w:val="20"/>
    </w:rPr>
  </w:style>
  <w:style w:type="character" w:customStyle="1" w:styleId="CommentaireCar">
    <w:name w:val="Commentaire Car"/>
    <w:basedOn w:val="Policepardfaut"/>
    <w:link w:val="Commentaire"/>
    <w:uiPriority w:val="99"/>
    <w:semiHidden/>
    <w:locked/>
    <w:rsid w:val="00940B6D"/>
    <w:rPr>
      <w:rFonts w:ascii="Arial" w:hAnsi="Arial" w:cs="Times New Roman"/>
      <w:sz w:val="20"/>
      <w:szCs w:val="20"/>
      <w:lang w:val="en-GB" w:eastAsia="en-GB"/>
    </w:rPr>
  </w:style>
  <w:style w:type="paragraph" w:styleId="Objetducommentaire">
    <w:name w:val="annotation subject"/>
    <w:basedOn w:val="Commentaire"/>
    <w:next w:val="Commentaire"/>
    <w:link w:val="ObjetducommentaireCar"/>
    <w:uiPriority w:val="99"/>
    <w:semiHidden/>
    <w:rsid w:val="00940B6D"/>
    <w:rPr>
      <w:b/>
      <w:bCs/>
    </w:rPr>
  </w:style>
  <w:style w:type="character" w:customStyle="1" w:styleId="ObjetducommentaireCar">
    <w:name w:val="Objet du commentaire Car"/>
    <w:basedOn w:val="CommentaireCar"/>
    <w:link w:val="Objetducommentaire"/>
    <w:uiPriority w:val="99"/>
    <w:semiHidden/>
    <w:locked/>
    <w:rsid w:val="00940B6D"/>
    <w:rPr>
      <w:rFonts w:ascii="Arial" w:hAnsi="Arial" w:cs="Times New Roman"/>
      <w:b/>
      <w:bCs/>
      <w:sz w:val="20"/>
      <w:szCs w:val="20"/>
      <w:lang w:val="en-GB" w:eastAsia="en-GB"/>
    </w:rPr>
  </w:style>
  <w:style w:type="character" w:customStyle="1" w:styleId="longtext">
    <w:name w:val="long_text"/>
    <w:basedOn w:val="Policepardfaut"/>
    <w:uiPriority w:val="99"/>
    <w:rsid w:val="003073D0"/>
    <w:rPr>
      <w:rFonts w:cs="Times New Roman"/>
    </w:rPr>
  </w:style>
  <w:style w:type="paragraph" w:styleId="Paragraphedeliste">
    <w:name w:val="List Paragraph"/>
    <w:basedOn w:val="Normal"/>
    <w:uiPriority w:val="34"/>
    <w:qFormat/>
    <w:rsid w:val="000E45C8"/>
    <w:pPr>
      <w:ind w:left="720"/>
      <w:contextualSpacing/>
    </w:pPr>
  </w:style>
  <w:style w:type="paragraph" w:styleId="Notedebasdepage">
    <w:name w:val="footnote text"/>
    <w:basedOn w:val="Normal"/>
    <w:link w:val="NotedebasdepageCar"/>
    <w:uiPriority w:val="99"/>
    <w:semiHidden/>
    <w:rsid w:val="00044DD8"/>
    <w:rPr>
      <w:sz w:val="20"/>
    </w:rPr>
  </w:style>
  <w:style w:type="character" w:customStyle="1" w:styleId="NotedebasdepageCar">
    <w:name w:val="Note de bas de page Car"/>
    <w:basedOn w:val="Policepardfaut"/>
    <w:link w:val="Notedebasdepage"/>
    <w:uiPriority w:val="99"/>
    <w:semiHidden/>
    <w:locked/>
    <w:rsid w:val="00044DD8"/>
    <w:rPr>
      <w:rFonts w:ascii="Arial" w:hAnsi="Arial" w:cs="Times New Roman"/>
      <w:sz w:val="20"/>
      <w:szCs w:val="20"/>
      <w:lang w:val="en-GB" w:eastAsia="en-GB"/>
    </w:rPr>
  </w:style>
  <w:style w:type="character" w:styleId="Appelnotedebasdep">
    <w:name w:val="footnote reference"/>
    <w:basedOn w:val="Policepardfaut"/>
    <w:uiPriority w:val="99"/>
    <w:semiHidden/>
    <w:rsid w:val="00044DD8"/>
    <w:rPr>
      <w:rFonts w:cs="Times New Roman"/>
      <w:vertAlign w:val="superscript"/>
    </w:rPr>
  </w:style>
  <w:style w:type="paragraph" w:styleId="Lgende">
    <w:name w:val="caption"/>
    <w:basedOn w:val="Normal"/>
    <w:next w:val="Normal"/>
    <w:uiPriority w:val="35"/>
    <w:unhideWhenUsed/>
    <w:qFormat/>
    <w:locked/>
    <w:rsid w:val="00191895"/>
    <w:pPr>
      <w:spacing w:after="200"/>
    </w:pPr>
    <w:rPr>
      <w:rFonts w:asciiTheme="minorHAnsi" w:eastAsiaTheme="minorHAnsi" w:hAnsiTheme="minorHAnsi" w:cstheme="minorBidi"/>
      <w:b/>
      <w:bCs/>
      <w:color w:val="4F81BD" w:themeColor="accent1"/>
      <w:sz w:val="18"/>
      <w:szCs w:val="18"/>
      <w:lang w:val="fr-FR" w:eastAsia="en-US"/>
    </w:rPr>
  </w:style>
  <w:style w:type="character" w:styleId="Lienhypertexte">
    <w:name w:val="Hyperlink"/>
    <w:basedOn w:val="Policepardfaut"/>
    <w:uiPriority w:val="99"/>
    <w:unhideWhenUsed/>
    <w:rsid w:val="008849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68F"/>
    <w:rPr>
      <w:rFonts w:ascii="Arial" w:hAnsi="Arial"/>
      <w:sz w:val="24"/>
    </w:rPr>
  </w:style>
  <w:style w:type="paragraph" w:styleId="Titre1">
    <w:name w:val="heading 1"/>
    <w:basedOn w:val="Normal"/>
    <w:next w:val="Normal"/>
    <w:link w:val="Titre1Car"/>
    <w:uiPriority w:val="99"/>
    <w:qFormat/>
    <w:rsid w:val="004A068F"/>
    <w:pPr>
      <w:keepNext/>
      <w:outlineLvl w:val="0"/>
    </w:pPr>
    <w:rPr>
      <w:b/>
      <w:caps/>
      <w:kern w:val="28"/>
      <w:sz w:val="22"/>
      <w:lang w:val="en-US"/>
    </w:rPr>
  </w:style>
  <w:style w:type="paragraph" w:styleId="Titre2">
    <w:name w:val="heading 2"/>
    <w:basedOn w:val="Normal"/>
    <w:next w:val="Normal"/>
    <w:link w:val="Titre2Car"/>
    <w:uiPriority w:val="99"/>
    <w:qFormat/>
    <w:rsid w:val="004A068F"/>
    <w:pPr>
      <w:keepNext/>
      <w:spacing w:before="240" w:after="60"/>
      <w:outlineLvl w:val="1"/>
    </w:pPr>
    <w:rPr>
      <w:rFonts w:cs="Arial"/>
      <w:b/>
      <w:bCs/>
      <w:i/>
      <w:iCs/>
      <w:sz w:val="28"/>
      <w:szCs w:val="28"/>
    </w:rPr>
  </w:style>
  <w:style w:type="paragraph" w:styleId="Titre5">
    <w:name w:val="heading 5"/>
    <w:basedOn w:val="Normal"/>
    <w:next w:val="Normal"/>
    <w:link w:val="Titre5Car"/>
    <w:uiPriority w:val="99"/>
    <w:qFormat/>
    <w:rsid w:val="004A068F"/>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4A068F"/>
    <w:rPr>
      <w:rFonts w:ascii="Arial" w:hAnsi="Arial" w:cs="Times New Roman"/>
      <w:b/>
      <w:caps/>
      <w:kern w:val="28"/>
      <w:sz w:val="22"/>
      <w:lang w:eastAsia="en-GB"/>
    </w:rPr>
  </w:style>
  <w:style w:type="character" w:customStyle="1" w:styleId="Titre2Car">
    <w:name w:val="Titre 2 Car"/>
    <w:basedOn w:val="Policepardfaut"/>
    <w:link w:val="Titre2"/>
    <w:uiPriority w:val="99"/>
    <w:locked/>
    <w:rsid w:val="004A068F"/>
    <w:rPr>
      <w:rFonts w:ascii="Arial" w:hAnsi="Arial" w:cs="Arial"/>
      <w:b/>
      <w:bCs/>
      <w:i/>
      <w:iCs/>
      <w:sz w:val="28"/>
      <w:szCs w:val="28"/>
      <w:lang w:val="en-GB" w:eastAsia="en-GB"/>
    </w:rPr>
  </w:style>
  <w:style w:type="character" w:customStyle="1" w:styleId="Titre5Car">
    <w:name w:val="Titre 5 Car"/>
    <w:basedOn w:val="Policepardfaut"/>
    <w:link w:val="Titre5"/>
    <w:uiPriority w:val="99"/>
    <w:locked/>
    <w:rsid w:val="004A068F"/>
    <w:rPr>
      <w:rFonts w:ascii="Arial" w:hAnsi="Arial" w:cs="Times New Roman"/>
      <w:b/>
      <w:bCs/>
      <w:i/>
      <w:iCs/>
      <w:sz w:val="26"/>
      <w:szCs w:val="26"/>
      <w:lang w:val="en-GB" w:eastAsia="en-GB"/>
    </w:rPr>
  </w:style>
  <w:style w:type="paragraph" w:styleId="Textedebulles">
    <w:name w:val="Balloon Text"/>
    <w:basedOn w:val="Normal"/>
    <w:link w:val="TextedebullesCar"/>
    <w:uiPriority w:val="99"/>
    <w:semiHidden/>
    <w:rsid w:val="00E55B9A"/>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55B9A"/>
    <w:rPr>
      <w:rFonts w:ascii="Tahoma" w:hAnsi="Tahoma" w:cs="Tahoma"/>
      <w:sz w:val="16"/>
      <w:szCs w:val="16"/>
      <w:lang w:val="en-GB" w:eastAsia="en-GB"/>
    </w:rPr>
  </w:style>
  <w:style w:type="paragraph" w:styleId="En-tte">
    <w:name w:val="header"/>
    <w:basedOn w:val="Normal"/>
    <w:link w:val="En-tteCar"/>
    <w:uiPriority w:val="99"/>
    <w:semiHidden/>
    <w:rsid w:val="00213F98"/>
    <w:pPr>
      <w:tabs>
        <w:tab w:val="center" w:pos="4536"/>
        <w:tab w:val="right" w:pos="9072"/>
      </w:tabs>
    </w:pPr>
  </w:style>
  <w:style w:type="character" w:customStyle="1" w:styleId="En-tteCar">
    <w:name w:val="En-tête Car"/>
    <w:basedOn w:val="Policepardfaut"/>
    <w:link w:val="En-tte"/>
    <w:uiPriority w:val="99"/>
    <w:semiHidden/>
    <w:locked/>
    <w:rsid w:val="00213F98"/>
    <w:rPr>
      <w:rFonts w:ascii="Times New Roman" w:hAnsi="Times New Roman" w:cs="Times New Roman"/>
      <w:sz w:val="24"/>
      <w:lang w:val="en-GB"/>
    </w:rPr>
  </w:style>
  <w:style w:type="paragraph" w:styleId="Pieddepage">
    <w:name w:val="footer"/>
    <w:basedOn w:val="Normal"/>
    <w:link w:val="PieddepageCar"/>
    <w:uiPriority w:val="99"/>
    <w:semiHidden/>
    <w:rsid w:val="00213F98"/>
    <w:pPr>
      <w:tabs>
        <w:tab w:val="center" w:pos="4536"/>
        <w:tab w:val="right" w:pos="9072"/>
      </w:tabs>
    </w:pPr>
  </w:style>
  <w:style w:type="character" w:customStyle="1" w:styleId="PieddepageCar">
    <w:name w:val="Pied de page Car"/>
    <w:basedOn w:val="Policepardfaut"/>
    <w:link w:val="Pieddepage"/>
    <w:uiPriority w:val="99"/>
    <w:semiHidden/>
    <w:locked/>
    <w:rsid w:val="00213F98"/>
    <w:rPr>
      <w:rFonts w:ascii="Times New Roman" w:hAnsi="Times New Roman" w:cs="Times New Roman"/>
      <w:sz w:val="24"/>
      <w:lang w:val="en-GB"/>
    </w:rPr>
  </w:style>
  <w:style w:type="table" w:styleId="Grilledutableau">
    <w:name w:val="Table Grid"/>
    <w:basedOn w:val="TableauNormal"/>
    <w:uiPriority w:val="99"/>
    <w:rsid w:val="00567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couleur-Accent2">
    <w:name w:val="Colorful Grid Accent 2"/>
    <w:basedOn w:val="TableauNormal"/>
    <w:uiPriority w:val="99"/>
    <w:rsid w:val="0056748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character" w:styleId="Marquedecommentaire">
    <w:name w:val="annotation reference"/>
    <w:basedOn w:val="Policepardfaut"/>
    <w:uiPriority w:val="99"/>
    <w:semiHidden/>
    <w:rsid w:val="00940B6D"/>
    <w:rPr>
      <w:rFonts w:cs="Times New Roman"/>
      <w:sz w:val="16"/>
      <w:szCs w:val="16"/>
    </w:rPr>
  </w:style>
  <w:style w:type="paragraph" w:styleId="Commentaire">
    <w:name w:val="annotation text"/>
    <w:basedOn w:val="Normal"/>
    <w:link w:val="CommentaireCar"/>
    <w:uiPriority w:val="99"/>
    <w:semiHidden/>
    <w:rsid w:val="00940B6D"/>
    <w:rPr>
      <w:sz w:val="20"/>
    </w:rPr>
  </w:style>
  <w:style w:type="character" w:customStyle="1" w:styleId="CommentaireCar">
    <w:name w:val="Commentaire Car"/>
    <w:basedOn w:val="Policepardfaut"/>
    <w:link w:val="Commentaire"/>
    <w:uiPriority w:val="99"/>
    <w:semiHidden/>
    <w:locked/>
    <w:rsid w:val="00940B6D"/>
    <w:rPr>
      <w:rFonts w:ascii="Arial" w:hAnsi="Arial" w:cs="Times New Roman"/>
      <w:sz w:val="20"/>
      <w:szCs w:val="20"/>
      <w:lang w:val="en-GB" w:eastAsia="en-GB"/>
    </w:rPr>
  </w:style>
  <w:style w:type="paragraph" w:styleId="Objetducommentaire">
    <w:name w:val="annotation subject"/>
    <w:basedOn w:val="Commentaire"/>
    <w:next w:val="Commentaire"/>
    <w:link w:val="ObjetducommentaireCar"/>
    <w:uiPriority w:val="99"/>
    <w:semiHidden/>
    <w:rsid w:val="00940B6D"/>
    <w:rPr>
      <w:b/>
      <w:bCs/>
    </w:rPr>
  </w:style>
  <w:style w:type="character" w:customStyle="1" w:styleId="ObjetducommentaireCar">
    <w:name w:val="Objet du commentaire Car"/>
    <w:basedOn w:val="CommentaireCar"/>
    <w:link w:val="Objetducommentaire"/>
    <w:uiPriority w:val="99"/>
    <w:semiHidden/>
    <w:locked/>
    <w:rsid w:val="00940B6D"/>
    <w:rPr>
      <w:rFonts w:ascii="Arial" w:hAnsi="Arial" w:cs="Times New Roman"/>
      <w:b/>
      <w:bCs/>
      <w:sz w:val="20"/>
      <w:szCs w:val="20"/>
      <w:lang w:val="en-GB" w:eastAsia="en-GB"/>
    </w:rPr>
  </w:style>
  <w:style w:type="character" w:customStyle="1" w:styleId="longtext">
    <w:name w:val="long_text"/>
    <w:basedOn w:val="Policepardfaut"/>
    <w:uiPriority w:val="99"/>
    <w:rsid w:val="003073D0"/>
    <w:rPr>
      <w:rFonts w:cs="Times New Roman"/>
    </w:rPr>
  </w:style>
  <w:style w:type="paragraph" w:styleId="Paragraphedeliste">
    <w:name w:val="List Paragraph"/>
    <w:basedOn w:val="Normal"/>
    <w:uiPriority w:val="34"/>
    <w:qFormat/>
    <w:rsid w:val="000E45C8"/>
    <w:pPr>
      <w:ind w:left="720"/>
      <w:contextualSpacing/>
    </w:pPr>
  </w:style>
  <w:style w:type="paragraph" w:styleId="Notedebasdepage">
    <w:name w:val="footnote text"/>
    <w:basedOn w:val="Normal"/>
    <w:link w:val="NotedebasdepageCar"/>
    <w:uiPriority w:val="99"/>
    <w:semiHidden/>
    <w:rsid w:val="00044DD8"/>
    <w:rPr>
      <w:sz w:val="20"/>
    </w:rPr>
  </w:style>
  <w:style w:type="character" w:customStyle="1" w:styleId="NotedebasdepageCar">
    <w:name w:val="Note de bas de page Car"/>
    <w:basedOn w:val="Policepardfaut"/>
    <w:link w:val="Notedebasdepage"/>
    <w:uiPriority w:val="99"/>
    <w:semiHidden/>
    <w:locked/>
    <w:rsid w:val="00044DD8"/>
    <w:rPr>
      <w:rFonts w:ascii="Arial" w:hAnsi="Arial" w:cs="Times New Roman"/>
      <w:sz w:val="20"/>
      <w:szCs w:val="20"/>
      <w:lang w:val="en-GB" w:eastAsia="en-GB"/>
    </w:rPr>
  </w:style>
  <w:style w:type="character" w:styleId="Appelnotedebasdep">
    <w:name w:val="footnote reference"/>
    <w:basedOn w:val="Policepardfaut"/>
    <w:uiPriority w:val="99"/>
    <w:semiHidden/>
    <w:rsid w:val="00044DD8"/>
    <w:rPr>
      <w:rFonts w:cs="Times New Roman"/>
      <w:vertAlign w:val="superscript"/>
    </w:rPr>
  </w:style>
  <w:style w:type="paragraph" w:styleId="Lgende">
    <w:name w:val="caption"/>
    <w:basedOn w:val="Normal"/>
    <w:next w:val="Normal"/>
    <w:uiPriority w:val="35"/>
    <w:unhideWhenUsed/>
    <w:qFormat/>
    <w:locked/>
    <w:rsid w:val="00191895"/>
    <w:pPr>
      <w:spacing w:after="200"/>
    </w:pPr>
    <w:rPr>
      <w:rFonts w:asciiTheme="minorHAnsi" w:eastAsiaTheme="minorHAnsi" w:hAnsiTheme="minorHAnsi" w:cstheme="minorBidi"/>
      <w:b/>
      <w:bCs/>
      <w:color w:val="4F81BD" w:themeColor="accent1"/>
      <w:sz w:val="18"/>
      <w:szCs w:val="18"/>
      <w:lang w:val="fr-FR" w:eastAsia="en-US"/>
    </w:rPr>
  </w:style>
  <w:style w:type="character" w:styleId="Lienhypertexte">
    <w:name w:val="Hyperlink"/>
    <w:basedOn w:val="Policepardfaut"/>
    <w:uiPriority w:val="99"/>
    <w:unhideWhenUsed/>
    <w:rsid w:val="008849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861295">
      <w:marLeft w:val="0"/>
      <w:marRight w:val="0"/>
      <w:marTop w:val="0"/>
      <w:marBottom w:val="0"/>
      <w:divBdr>
        <w:top w:val="none" w:sz="0" w:space="0" w:color="auto"/>
        <w:left w:val="none" w:sz="0" w:space="0" w:color="auto"/>
        <w:bottom w:val="none" w:sz="0" w:space="0" w:color="auto"/>
        <w:right w:val="none" w:sz="0" w:space="0" w:color="auto"/>
      </w:divBdr>
      <w:divsChild>
        <w:div w:id="1167861307">
          <w:marLeft w:val="0"/>
          <w:marRight w:val="0"/>
          <w:marTop w:val="0"/>
          <w:marBottom w:val="0"/>
          <w:divBdr>
            <w:top w:val="none" w:sz="0" w:space="0" w:color="auto"/>
            <w:left w:val="none" w:sz="0" w:space="0" w:color="auto"/>
            <w:bottom w:val="none" w:sz="0" w:space="0" w:color="auto"/>
            <w:right w:val="none" w:sz="0" w:space="0" w:color="auto"/>
          </w:divBdr>
          <w:divsChild>
            <w:div w:id="1167861309">
              <w:marLeft w:val="0"/>
              <w:marRight w:val="0"/>
              <w:marTop w:val="0"/>
              <w:marBottom w:val="0"/>
              <w:divBdr>
                <w:top w:val="none" w:sz="0" w:space="0" w:color="auto"/>
                <w:left w:val="none" w:sz="0" w:space="0" w:color="auto"/>
                <w:bottom w:val="none" w:sz="0" w:space="0" w:color="auto"/>
                <w:right w:val="none" w:sz="0" w:space="0" w:color="auto"/>
              </w:divBdr>
              <w:divsChild>
                <w:div w:id="1167861302">
                  <w:marLeft w:val="0"/>
                  <w:marRight w:val="0"/>
                  <w:marTop w:val="0"/>
                  <w:marBottom w:val="0"/>
                  <w:divBdr>
                    <w:top w:val="none" w:sz="0" w:space="0" w:color="auto"/>
                    <w:left w:val="none" w:sz="0" w:space="0" w:color="auto"/>
                    <w:bottom w:val="none" w:sz="0" w:space="0" w:color="auto"/>
                    <w:right w:val="none" w:sz="0" w:space="0" w:color="auto"/>
                  </w:divBdr>
                  <w:divsChild>
                    <w:div w:id="1167861300">
                      <w:marLeft w:val="0"/>
                      <w:marRight w:val="0"/>
                      <w:marTop w:val="0"/>
                      <w:marBottom w:val="0"/>
                      <w:divBdr>
                        <w:top w:val="none" w:sz="0" w:space="0" w:color="auto"/>
                        <w:left w:val="none" w:sz="0" w:space="0" w:color="auto"/>
                        <w:bottom w:val="none" w:sz="0" w:space="0" w:color="auto"/>
                        <w:right w:val="none" w:sz="0" w:space="0" w:color="auto"/>
                      </w:divBdr>
                      <w:divsChild>
                        <w:div w:id="1167861297">
                          <w:marLeft w:val="0"/>
                          <w:marRight w:val="0"/>
                          <w:marTop w:val="0"/>
                          <w:marBottom w:val="0"/>
                          <w:divBdr>
                            <w:top w:val="none" w:sz="0" w:space="0" w:color="auto"/>
                            <w:left w:val="none" w:sz="0" w:space="0" w:color="auto"/>
                            <w:bottom w:val="none" w:sz="0" w:space="0" w:color="auto"/>
                            <w:right w:val="none" w:sz="0" w:space="0" w:color="auto"/>
                          </w:divBdr>
                          <w:divsChild>
                            <w:div w:id="1167861299">
                              <w:marLeft w:val="0"/>
                              <w:marRight w:val="0"/>
                              <w:marTop w:val="0"/>
                              <w:marBottom w:val="0"/>
                              <w:divBdr>
                                <w:top w:val="none" w:sz="0" w:space="0" w:color="auto"/>
                                <w:left w:val="none" w:sz="0" w:space="0" w:color="auto"/>
                                <w:bottom w:val="none" w:sz="0" w:space="0" w:color="auto"/>
                                <w:right w:val="none" w:sz="0" w:space="0" w:color="auto"/>
                              </w:divBdr>
                              <w:divsChild>
                                <w:div w:id="116786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861301">
      <w:marLeft w:val="0"/>
      <w:marRight w:val="0"/>
      <w:marTop w:val="0"/>
      <w:marBottom w:val="0"/>
      <w:divBdr>
        <w:top w:val="none" w:sz="0" w:space="0" w:color="auto"/>
        <w:left w:val="none" w:sz="0" w:space="0" w:color="auto"/>
        <w:bottom w:val="none" w:sz="0" w:space="0" w:color="auto"/>
        <w:right w:val="none" w:sz="0" w:space="0" w:color="auto"/>
      </w:divBdr>
      <w:divsChild>
        <w:div w:id="1167861304">
          <w:marLeft w:val="0"/>
          <w:marRight w:val="0"/>
          <w:marTop w:val="0"/>
          <w:marBottom w:val="0"/>
          <w:divBdr>
            <w:top w:val="none" w:sz="0" w:space="0" w:color="auto"/>
            <w:left w:val="none" w:sz="0" w:space="0" w:color="auto"/>
            <w:bottom w:val="none" w:sz="0" w:space="0" w:color="auto"/>
            <w:right w:val="none" w:sz="0" w:space="0" w:color="auto"/>
          </w:divBdr>
          <w:divsChild>
            <w:div w:id="1167861308">
              <w:marLeft w:val="0"/>
              <w:marRight w:val="0"/>
              <w:marTop w:val="0"/>
              <w:marBottom w:val="0"/>
              <w:divBdr>
                <w:top w:val="none" w:sz="0" w:space="0" w:color="auto"/>
                <w:left w:val="none" w:sz="0" w:space="0" w:color="auto"/>
                <w:bottom w:val="none" w:sz="0" w:space="0" w:color="auto"/>
                <w:right w:val="none" w:sz="0" w:space="0" w:color="auto"/>
              </w:divBdr>
              <w:divsChild>
                <w:div w:id="1167861303">
                  <w:marLeft w:val="0"/>
                  <w:marRight w:val="0"/>
                  <w:marTop w:val="0"/>
                  <w:marBottom w:val="0"/>
                  <w:divBdr>
                    <w:top w:val="none" w:sz="0" w:space="0" w:color="auto"/>
                    <w:left w:val="none" w:sz="0" w:space="0" w:color="auto"/>
                    <w:bottom w:val="none" w:sz="0" w:space="0" w:color="auto"/>
                    <w:right w:val="none" w:sz="0" w:space="0" w:color="auto"/>
                  </w:divBdr>
                  <w:divsChild>
                    <w:div w:id="1167861305">
                      <w:marLeft w:val="0"/>
                      <w:marRight w:val="0"/>
                      <w:marTop w:val="0"/>
                      <w:marBottom w:val="0"/>
                      <w:divBdr>
                        <w:top w:val="none" w:sz="0" w:space="0" w:color="auto"/>
                        <w:left w:val="none" w:sz="0" w:space="0" w:color="auto"/>
                        <w:bottom w:val="none" w:sz="0" w:space="0" w:color="auto"/>
                        <w:right w:val="none" w:sz="0" w:space="0" w:color="auto"/>
                      </w:divBdr>
                      <w:divsChild>
                        <w:div w:id="1167861296">
                          <w:marLeft w:val="0"/>
                          <w:marRight w:val="0"/>
                          <w:marTop w:val="0"/>
                          <w:marBottom w:val="0"/>
                          <w:divBdr>
                            <w:top w:val="none" w:sz="0" w:space="0" w:color="auto"/>
                            <w:left w:val="none" w:sz="0" w:space="0" w:color="auto"/>
                            <w:bottom w:val="none" w:sz="0" w:space="0" w:color="auto"/>
                            <w:right w:val="none" w:sz="0" w:space="0" w:color="auto"/>
                          </w:divBdr>
                          <w:divsChild>
                            <w:div w:id="1167861294">
                              <w:marLeft w:val="0"/>
                              <w:marRight w:val="0"/>
                              <w:marTop w:val="0"/>
                              <w:marBottom w:val="0"/>
                              <w:divBdr>
                                <w:top w:val="none" w:sz="0" w:space="0" w:color="auto"/>
                                <w:left w:val="none" w:sz="0" w:space="0" w:color="auto"/>
                                <w:bottom w:val="none" w:sz="0" w:space="0" w:color="auto"/>
                                <w:right w:val="none" w:sz="0" w:space="0" w:color="auto"/>
                              </w:divBdr>
                              <w:divsChild>
                                <w:div w:id="116786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remy.lescot@acted.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sa.acted@acte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2698</Words>
  <Characters>14844</Characters>
  <Application>Microsoft Office Word</Application>
  <DocSecurity>0</DocSecurity>
  <Lines>123</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Exemples de réalisations de la FAO:</vt:lpstr>
      <vt:lpstr>Exemples de réalisations de la FAO:</vt:lpstr>
    </vt:vector>
  </TitlesOfParts>
  <Company>FAO of the UN</Company>
  <LinksUpToDate>false</LinksUpToDate>
  <CharactersWithSpaces>17507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Exemples de réalisations de la FAO:</dc:title>
  <dc:creator>Nguyen, Sonia (FAOSN)</dc:creator>
  <cp:lastModifiedBy>CaLP WA</cp:lastModifiedBy>
  <cp:revision>7</cp:revision>
  <cp:lastPrinted>2013-04-10T10:01:00Z</cp:lastPrinted>
  <dcterms:created xsi:type="dcterms:W3CDTF">2013-04-03T12:51:00Z</dcterms:created>
  <dcterms:modified xsi:type="dcterms:W3CDTF">2013-04-10T10:02:00Z</dcterms:modified>
</cp:coreProperties>
</file>